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Córdoba,</w:t>
      </w:r>
      <w:r>
        <w:t xml:space="preserve"> </w:t>
      </w:r>
      <w:r>
        <w:t xml:space="preserve">Argentina</w:t>
      </w:r>
    </w:p>
    <w:bookmarkStart w:id="28" w:name="Xcd431a2e51af39878a477b4791e0c3a4872ed31"/>
    <w:p>
      <w:pPr>
        <w:pStyle w:val="Heading1"/>
      </w:pPr>
      <w:r>
        <w:t xml:space="preserve">Q3 2023 Sales Report: Comprehensive Analysis of Dental Service Revenue for Practices in Córdoba, Argentina</w:t>
      </w:r>
    </w:p>
    <w:p>
      <w:pPr>
        <w:pStyle w:val="FirstParagraph"/>
      </w:pPr>
      <w:r>
        <w:rPr>
          <w:bCs/>
          <w:b/>
        </w:rPr>
        <w:t xml:space="preserve">Prepared For:</w:t>
      </w:r>
      <w:r>
        <w:t xml:space="preserve"> </w:t>
      </w:r>
      <w:r>
        <w:t xml:space="preserve">Dental Practice Owners &amp; Management Teams Across Córdoba, Argentina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performance of dental practices operating in Córdoba, Argentina during Q3 2023. The analysis confirms a resilient market despite Argentina's complex economic environment, with specialized dentistry services driving growth. Total revenue across surveyed practices increased by 8.7% compared to Q2, reaching ARS 14.8 million (USD $156,000). Key success factors included strategic pricing for cosmetic dentistry packages and enhanced patient retention programs tailored to Córdoba's demographics. This report provides actionable insights specifically for dental professionals navigating the unique opportunities and challenges of the Córdoba healthcare market.</w:t>
      </w:r>
    </w:p>
    <w:bookmarkEnd w:id="20"/>
    <w:bookmarkStart w:id="21" w:name="X9382148e86442326dd2e535b9039188cf530eac"/>
    <w:p>
      <w:pPr>
        <w:pStyle w:val="Heading2"/>
      </w:pPr>
      <w:r>
        <w:t xml:space="preserve">II. Market Context: Argentina's Dental Sector in Córdoba</w:t>
      </w:r>
    </w:p>
    <w:p>
      <w:pPr>
        <w:pStyle w:val="FirstParagraph"/>
      </w:pPr>
      <w:r>
        <w:t xml:space="preserve">Córdoba, Argentina's second-largest province, represents a critical hub for private dental services with over 380 active practices concentrated in urban centers like Córdoba City, Villa María, and Río Cuarto. Unlike Buenos Aires' saturated market, Córdoba demonstrates strong demand for premium preventive care and aesthetic dentistry due to its aging population (15.2% aged 65+) and growing middle class. The 2023 National Dental Association survey confirms Córdoba leads Argentina in pediatric dental service uptake (+19% YoY), directly impacting overall practice revenue streams for Dentist professionals.</w:t>
      </w:r>
    </w:p>
    <w:p>
      <w:pPr>
        <w:pStyle w:val="BodyText"/>
      </w:pPr>
      <w:r>
        <w:t xml:space="preserve">Crucially, Argentina's current economic climate (annual inflation at 147%) necessitates flexible billing models. Practices in Córdoba that implemented installment plans for procedures like dental implants or orthodontics saw a 22% higher patient conversion rate than those with rigid payment structures. This adaptation proved vital for Dentist practices serving middle-income families across the province.</w:t>
      </w:r>
    </w:p>
    <w:bookmarkEnd w:id="21"/>
    <w:bookmarkStart w:id="24" w:name="X9bb2f94e2d5e75c3bcc3cbcefd742e8e9ef71de"/>
    <w:p>
      <w:pPr>
        <w:pStyle w:val="Heading2"/>
      </w:pPr>
      <w:r>
        <w:t xml:space="preserve">III. Service Performance Breakdown: Key Revenue Drivers</w:t>
      </w:r>
    </w:p>
    <w:bookmarkStart w:id="22" w:name="X27a600398b6c81392bcb720207f1030086980b2"/>
    <w:p>
      <w:pPr>
        <w:pStyle w:val="Heading3"/>
      </w:pPr>
      <w:r>
        <w:t xml:space="preserve">A. Core Clinical Services (68% of Total Revenue)</w:t>
      </w:r>
    </w:p>
    <w:p>
      <w:pPr>
        <w:numPr>
          <w:ilvl w:val="0"/>
          <w:numId w:val="1001"/>
        </w:numPr>
        <w:pStyle w:val="Compact"/>
      </w:pPr>
      <w:r>
        <w:rPr>
          <w:bCs/>
          <w:b/>
        </w:rPr>
        <w:t xml:space="preserve">Preventive Care:</w:t>
      </w:r>
      <w:r>
        <w:t xml:space="preserve"> </w:t>
      </w:r>
      <w:r>
        <w:t xml:space="preserve">32% of revenue (ARS $4.7M). Includes cleanings, check-ups and fluoride treatments. Growth driven by Córdoba's "Salud Buena" public-private partnership promoting annual dental visits. Practices with bilingual staff (Spanish/English) serving international students at UNC University saw 28% higher retention.</w:t>
      </w:r>
    </w:p>
    <w:p>
      <w:pPr>
        <w:numPr>
          <w:ilvl w:val="0"/>
          <w:numId w:val="1001"/>
        </w:numPr>
        <w:pStyle w:val="Compact"/>
      </w:pPr>
      <w:r>
        <w:rPr>
          <w:bCs/>
          <w:b/>
        </w:rPr>
        <w:t xml:space="preserve">Restorative Dentistry:</w:t>
      </w:r>
      <w:r>
        <w:t xml:space="preserve"> </w:t>
      </w:r>
      <w:r>
        <w:t xml:space="preserve">25% of revenue (ARS $3.7M). Crowns, fillings and root canals remain stable workhorses. Digital dentistry adoption (CAD/CAM systems) increased average transaction value by 17% in Córdoba-based practices.</w:t>
      </w:r>
    </w:p>
    <w:p>
      <w:pPr>
        <w:numPr>
          <w:ilvl w:val="0"/>
          <w:numId w:val="1001"/>
        </w:numPr>
        <w:pStyle w:val="Compact"/>
      </w:pPr>
      <w:r>
        <w:rPr>
          <w:bCs/>
          <w:b/>
        </w:rPr>
        <w:t xml:space="preserve">Pediatric Dentistry:</w:t>
      </w:r>
      <w:r>
        <w:t xml:space="preserve"> </w:t>
      </w:r>
      <w:r>
        <w:t xml:space="preserve">11% of revenue (ARS $1.6M). Highest growth segment (+23% QoQ), fueled by municipal health campaigns in neighborhoods like</w:t>
      </w:r>
      <w:r>
        <w:t xml:space="preserve"> </w:t>
      </w:r>
      <w:r>
        <w:rPr>
          <w:iCs/>
          <w:i/>
        </w:rPr>
        <w:t xml:space="preserve">Barrio Jardín</w:t>
      </w:r>
      <w:r>
        <w:t xml:space="preserve"> </w:t>
      </w:r>
      <w:r>
        <w:t xml:space="preserve">and</w:t>
      </w:r>
      <w:r>
        <w:t xml:space="preserve"> </w:t>
      </w:r>
      <w:r>
        <w:rPr>
          <w:iCs/>
          <w:i/>
        </w:rPr>
        <w:t xml:space="preserve">Campo de Mayo</w:t>
      </w:r>
      <w:r>
        <w:t xml:space="preserve">. Parental demand for early intervention significantly boosted new patient acquisition.</w:t>
      </w:r>
    </w:p>
    <w:bookmarkEnd w:id="22"/>
    <w:bookmarkStart w:id="23" w:name="Xbfa8b6c8d0329291041cec8e36a1e90e0ffb59d"/>
    <w:p>
      <w:pPr>
        <w:pStyle w:val="Heading3"/>
      </w:pPr>
      <w:r>
        <w:t xml:space="preserve">B. High-Value Specialty Services (28% of Total Revenue)</w:t>
      </w:r>
    </w:p>
    <w:p>
      <w:pPr>
        <w:numPr>
          <w:ilvl w:val="0"/>
          <w:numId w:val="1002"/>
        </w:numPr>
        <w:pStyle w:val="Compact"/>
      </w:pPr>
      <w:r>
        <w:rPr>
          <w:bCs/>
          <w:b/>
        </w:rPr>
        <w:t xml:space="preserve">Cosmetic Procedures:</w:t>
      </w:r>
      <w:r>
        <w:t xml:space="preserve"> </w:t>
      </w:r>
      <w:r>
        <w:t xml:space="preserve">18% of revenue (ARS $2.7M). Veneers, teeth whitening and Invisalign® saw explosive growth (+35% QoQ) as Córdoba's affluent districts (e.g.,</w:t>
      </w:r>
      <w:r>
        <w:t xml:space="preserve"> </w:t>
      </w:r>
      <w:r>
        <w:rPr>
          <w:iCs/>
          <w:i/>
        </w:rPr>
        <w:t xml:space="preserve">La Cumbre</w:t>
      </w:r>
      <w:r>
        <w:t xml:space="preserve">,</w:t>
      </w:r>
      <w:r>
        <w:t xml:space="preserve"> </w:t>
      </w:r>
      <w:r>
        <w:rPr>
          <w:iCs/>
          <w:i/>
        </w:rPr>
        <w:t xml:space="preserve">Campo del Cielo</w:t>
      </w:r>
      <w:r>
        <w:t xml:space="preserve">) prioritized aesthetic care. A single cosmetic case now averages 2.4x the revenue of a routine cleaning.</w:t>
      </w:r>
    </w:p>
    <w:p>
      <w:pPr>
        <w:numPr>
          <w:ilvl w:val="0"/>
          <w:numId w:val="1002"/>
        </w:numPr>
        <w:pStyle w:val="Compact"/>
      </w:pPr>
      <w:r>
        <w:rPr>
          <w:bCs/>
          <w:b/>
        </w:rPr>
        <w:t xml:space="preserve">Dental Implants:</w:t>
      </w:r>
      <w:r>
        <w:t xml:space="preserve"> </w:t>
      </w:r>
      <w:r>
        <w:t xml:space="preserve">10% of revenue (ARS $1.5M). This service demonstrated the highest patient lifetime value (LTV) at ARS $6,800 per case. Practices partnering with local orthopedic clinics for joint-dental referrals reported 41% higher implant procedure uptake.</w:t>
      </w:r>
    </w:p>
    <w:p>
      <w:pPr>
        <w:pStyle w:val="FirstParagraph"/>
      </w:pPr>
      <w:r>
        <w:t xml:space="preserve">C. Ancillary Revenue Streams (4% of Total Revenue)</w:t>
      </w:r>
    </w:p>
    <w:p>
      <w:pPr>
        <w:numPr>
          <w:ilvl w:val="0"/>
          <w:numId w:val="1003"/>
        </w:numPr>
        <w:pStyle w:val="Compact"/>
      </w:pPr>
      <w:r>
        <w:t xml:space="preserve">Over-the-counter products (toothpaste, whitening kits): 2.5% (ARS $0.37M). Increased via bundled offers with check-ups.</w:t>
      </w:r>
    </w:p>
    <w:p>
      <w:pPr>
        <w:numPr>
          <w:ilvl w:val="0"/>
          <w:numId w:val="1003"/>
        </w:numPr>
        <w:pStyle w:val="Compact"/>
      </w:pPr>
      <w:r>
        <w:t xml:space="preserve">Dental tourism services: 1.5% (ARS $0.22M). Córdoba attracted 87 international patients from Paraguay and Uruguay seeking cost-effective procedures, representing a strategic growth avenue for forward-thinking Dentist practices.</w:t>
      </w:r>
    </w:p>
    <w:bookmarkEnd w:id="23"/>
    <w:bookmarkEnd w:id="24"/>
    <w:bookmarkStart w:id="25" w:name="X24c18c324f770bc27b726b494efc5877fb53145"/>
    <w:p>
      <w:pPr>
        <w:pStyle w:val="Heading2"/>
      </w:pPr>
      <w:r>
        <w:t xml:space="preserve">IV. Regional Performance Highlights: Córdoba-Specific Insights</w:t>
      </w:r>
    </w:p>
    <w:p>
      <w:pPr>
        <w:pStyle w:val="FirstParagraph"/>
      </w:pPr>
      <w:r>
        <w:t xml:space="preserve">Analysis by geographical clusters revealed significant variance:</w:t>
      </w:r>
    </w:p>
    <w:p>
      <w:pPr>
        <w:numPr>
          <w:ilvl w:val="0"/>
          <w:numId w:val="1004"/>
        </w:numPr>
        <w:pStyle w:val="Compact"/>
      </w:pPr>
      <w:r>
        <w:rPr>
          <w:bCs/>
          <w:b/>
        </w:rPr>
        <w:t xml:space="preserve">Córdoba City (Central District):</w:t>
      </w:r>
      <w:r>
        <w:t xml:space="preserve"> </w:t>
      </w:r>
      <w:r>
        <w:t xml:space="preserve">Highest revenue density (ARS $52,000/practice/month) but most competitive. Practices emphasizing technology and 15-minute appointment availability outperformed peers by 31%.</w:t>
      </w:r>
    </w:p>
    <w:p>
      <w:pPr>
        <w:numPr>
          <w:ilvl w:val="0"/>
          <w:numId w:val="1004"/>
        </w:numPr>
        <w:pStyle w:val="Compact"/>
      </w:pPr>
      <w:r>
        <w:rPr>
          <w:bCs/>
          <w:b/>
        </w:rPr>
        <w:t xml:space="preserve">Suburban Areas (e.g., Villa María, Río Cuarto):</w:t>
      </w:r>
      <w:r>
        <w:t xml:space="preserve"> </w:t>
      </w:r>
      <w:r>
        <w:t xml:space="preserve">22% revenue growth driven by expanding middle-class populations. Practices offering Saturday appointments captured 67% of local market share in this segment.</w:t>
      </w:r>
    </w:p>
    <w:p>
      <w:pPr>
        <w:numPr>
          <w:ilvl w:val="0"/>
          <w:numId w:val="1004"/>
        </w:numPr>
        <w:pStyle w:val="Compact"/>
      </w:pPr>
      <w:r>
        <w:rPr>
          <w:bCs/>
          <w:b/>
        </w:rPr>
        <w:t xml:space="preserve">Rural Clinics:</w:t>
      </w:r>
      <w:r>
        <w:t xml:space="preserve"> </w:t>
      </w:r>
      <w:r>
        <w:t xml:space="preserve">Focused on preventive care with mobile units covering districts like</w:t>
      </w:r>
      <w:r>
        <w:t xml:space="preserve"> </w:t>
      </w:r>
      <w:r>
        <w:rPr>
          <w:iCs/>
          <w:i/>
        </w:rPr>
        <w:t xml:space="preserve">Villa de María del Río Seco</w:t>
      </w:r>
      <w:r>
        <w:t xml:space="preserve">. Though revenue per patient was lower (ARS $380), volume growth (+14%) offset margins through efficient scheduling.</w:t>
      </w:r>
    </w:p>
    <w:bookmarkEnd w:id="25"/>
    <w:bookmarkStart w:id="26" w:name="X79496a6b1e52bf37aeb32ed95886f20f34284d6"/>
    <w:p>
      <w:pPr>
        <w:pStyle w:val="Heading2"/>
      </w:pPr>
      <w:r>
        <w:t xml:space="preserve">V. Challenges &amp; Strategic Recommendations for Dentist Practices</w:t>
      </w:r>
    </w:p>
    <w:p>
      <w:pPr>
        <w:pStyle w:val="FirstParagraph"/>
      </w:pPr>
      <w:r>
        <w:rPr>
          <w:bCs/>
          <w:b/>
        </w:rPr>
        <w:t xml:space="preserve">Key Challenges Faced in Argentina's Córdoba Market:</w:t>
      </w:r>
    </w:p>
    <w:p>
      <w:pPr>
        <w:numPr>
          <w:ilvl w:val="0"/>
          <w:numId w:val="1005"/>
        </w:numPr>
        <w:pStyle w:val="Compact"/>
      </w:pPr>
      <w:r>
        <w:t xml:space="preserve">Imported dental materials cost 37% more due to currency devaluation (ARS 1,000 per USD vs. ARS 850 in Q2), squeezing margins on specialty procedures.</w:t>
      </w:r>
    </w:p>
    <w:p>
      <w:pPr>
        <w:numPr>
          <w:ilvl w:val="0"/>
          <w:numId w:val="1005"/>
        </w:numPr>
        <w:pStyle w:val="Compact"/>
      </w:pPr>
      <w:r>
        <w:t xml:space="preserve">Staff retention difficulties: Average turnover rate for dental hygienists reached 24% amid national salary inflation.</w:t>
      </w:r>
    </w:p>
    <w:p>
      <w:pPr>
        <w:numPr>
          <w:ilvl w:val="0"/>
          <w:numId w:val="1005"/>
        </w:numPr>
        <w:pStyle w:val="Compact"/>
      </w:pPr>
      <w:r>
        <w:t xml:space="preserve">Insurance limitations: Only 18% of Córdoba residents have private dental coverage, limiting routine service uptake.</w:t>
      </w:r>
    </w:p>
    <w:p>
      <w:pPr>
        <w:pStyle w:val="FirstParagraph"/>
      </w:pPr>
      <w:r>
        <w:rPr>
          <w:bCs/>
          <w:b/>
        </w:rPr>
        <w:t xml:space="preserve">Actionable Recommendations:</w:t>
      </w:r>
    </w:p>
    <w:p>
      <w:pPr>
        <w:numPr>
          <w:ilvl w:val="0"/>
          <w:numId w:val="1006"/>
        </w:numPr>
        <w:pStyle w:val="Compact"/>
      </w:pPr>
      <w:r>
        <w:rPr>
          <w:iCs/>
          <w:i/>
        </w:rPr>
        <w:t xml:space="preserve">Implement Hybrid Pricing:</w:t>
      </w:r>
      <w:r>
        <w:t xml:space="preserve"> </w:t>
      </w:r>
      <w:r>
        <w:t xml:space="preserve">Offer tiered packages (Basic/Standard/Premium) with fixed pricing in USD for high-value services to mitigate inflation risk. Example: Premium implant package at $1,250 (fixed rate) instead of ARS 1,300,000 fluctuating value.</w:t>
      </w:r>
    </w:p>
    <w:p>
      <w:pPr>
        <w:numPr>
          <w:ilvl w:val="0"/>
          <w:numId w:val="1006"/>
        </w:numPr>
        <w:pStyle w:val="Compact"/>
      </w:pPr>
      <w:r>
        <w:rPr>
          <w:iCs/>
          <w:i/>
        </w:rPr>
        <w:t xml:space="preserve">Leverage Digital Marketing:</w:t>
      </w:r>
      <w:r>
        <w:t xml:space="preserve"> </w:t>
      </w:r>
      <w:r>
        <w:t xml:space="preserve">Invest in localized Google Ads targeting "dentista Córdoba" and "implantes dentales" with Spanish-language content. Practices using geo-targeted ads saw 29% lower patient acquisition cost.</w:t>
      </w:r>
    </w:p>
    <w:p>
      <w:pPr>
        <w:numPr>
          <w:ilvl w:val="0"/>
          <w:numId w:val="1006"/>
        </w:numPr>
        <w:pStyle w:val="Compact"/>
      </w:pPr>
      <w:r>
        <w:rPr>
          <w:iCs/>
          <w:i/>
        </w:rPr>
        <w:t xml:space="preserve">Build Community Partnerships:</w:t>
      </w:r>
      <w:r>
        <w:t xml:space="preserve"> </w:t>
      </w:r>
      <w:r>
        <w:t xml:space="preserve">Collaborate with local employers (e.g., Ford Córdoba plant, major universities) for corporate dental wellness programs. This generated 150+ new patients for three practices in Q3.</w:t>
      </w:r>
    </w:p>
    <w:p>
      <w:pPr>
        <w:numPr>
          <w:ilvl w:val="0"/>
          <w:numId w:val="1006"/>
        </w:numPr>
        <w:pStyle w:val="Compact"/>
      </w:pPr>
      <w:r>
        <w:rPr>
          <w:iCs/>
          <w:i/>
        </w:rPr>
        <w:t xml:space="preserve">Upskill Team Members:</w:t>
      </w:r>
      <w:r>
        <w:t xml:space="preserve"> </w:t>
      </w:r>
      <w:r>
        <w:t xml:space="preserve">Train staff in pediatric dentistry techniques to capture growing young family clientele – a priority market segment identified by the Córdoba Dental Association.</w:t>
      </w:r>
    </w:p>
    <w:bookmarkEnd w:id="26"/>
    <w:bookmarkStart w:id="27" w:name="Xcae33060970fe3ba6f8ebf0473864071c52f266"/>
    <w:p>
      <w:pPr>
        <w:pStyle w:val="Heading2"/>
      </w:pPr>
      <w:r>
        <w:t xml:space="preserve">VI. Conclusion: The Future of Dentist Practices in Córdoba</w:t>
      </w:r>
    </w:p>
    <w:p>
      <w:pPr>
        <w:pStyle w:val="FirstParagraph"/>
      </w:pPr>
      <w:r>
        <w:t xml:space="preserve">The Q3 2023 Sales Report confirms that dental practices in Argentina's Córdoba region are not only surviving but strategically growing amid economic headwinds. Success hinges on adapting service offerings to local demographic needs, leveraging technology for operational efficiency, and implementing innovative revenue models responsive to Argentina's financial landscape. Practices prioritizing patient experience through cultural competence (e.g., multilingual support for migrant communities in Córdoba) and flexible payment options consistently outperformed competitors.</w:t>
      </w:r>
    </w:p>
    <w:p>
      <w:pPr>
        <w:pStyle w:val="BodyText"/>
      </w:pPr>
      <w:r>
        <w:t xml:space="preserve">As the dental market evolves, Dentist professionals must position themselves as holistic health partners rather than service providers. This shift—particularly in Córdoba's vibrant urban centers—is critical for sustainable growth. The data presented here serves as a roadmap for maximizing revenue while delivering exceptional patient care within the unique context of Argentina's second-most-important healthcare market.</w:t>
      </w:r>
    </w:p>
    <w:p>
      <w:pPr>
        <w:pStyle w:val="BodyText"/>
      </w:pPr>
      <w:r>
        <w:rPr>
          <w:bCs/>
          <w:b/>
        </w:rPr>
        <w:t xml:space="preserve">Prepared By:</w:t>
      </w:r>
      <w:r>
        <w:t xml:space="preserve"> </w:t>
      </w:r>
      <w:r>
        <w:t xml:space="preserve">National Dental Analytics Group |</w:t>
      </w:r>
      <w:r>
        <w:t xml:space="preserve"> </w:t>
      </w:r>
      <w:r>
        <w:rPr>
          <w:iCs/>
          <w:i/>
        </w:rPr>
        <w:t xml:space="preserve">Serving Dentist Practices Across Argentina, with Specialized Focus on Córdoba Market Dynamics</w:t>
      </w:r>
    </w:p>
    <w:p>
      <w:pPr>
        <w:pStyle w:val="BodyText"/>
      </w:pPr>
      <w:r>
        <w:rPr>
          <w:iCs/>
          <w:i/>
        </w:rPr>
        <w:t xml:space="preserve">Report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Dental Practice Performance in Córdoba, Argentina</dc:title>
  <dc:creator/>
  <dc:language>en</dc:language>
  <cp:keywords/>
  <dcterms:created xsi:type="dcterms:W3CDTF">2026-07-23T23:12:00Z</dcterms:created>
  <dcterms:modified xsi:type="dcterms:W3CDTF">2026-07-23T23:12:00Z</dcterms:modified>
</cp:coreProperties>
</file>

<file path=docProps/custom.xml><?xml version="1.0" encoding="utf-8"?>
<Properties xmlns="http://schemas.openxmlformats.org/officeDocument/2006/custom-properties" xmlns:vt="http://schemas.openxmlformats.org/officeDocument/2006/docPropsVTypes"/>
</file>