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Dental</w:t>
      </w:r>
      <w:r>
        <w:t xml:space="preserve"> </w:t>
      </w:r>
      <w:r>
        <w:t xml:space="preserve">Sector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7" w:name="X5f2f9978a78b31cb24b5fd92e3a311fdc42a83a"/>
    <w:p>
      <w:pPr>
        <w:pStyle w:val="Heading1"/>
      </w:pPr>
      <w:r>
        <w:t xml:space="preserve">Sales Report: Strategic Market Analysis for Dentist Practices Across Belgium Brussels (Q3 2023)</w:t>
      </w:r>
    </w:p>
    <w:p>
      <w:pPr>
        <w:pStyle w:val="FirstParagraph"/>
      </w:pPr>
      <w:r>
        <w:rPr>
          <w:bCs/>
          <w:b/>
        </w:rPr>
        <w:t xml:space="preserve">Prepared For:</w:t>
      </w:r>
      <w:r>
        <w:t xml:space="preserve"> </w:t>
      </w:r>
      <w:r>
        <w:t xml:space="preserve">Executive Leadership, Dental Practice Management Teams, &amp; Healthcare Investors</w:t>
      </w:r>
      <w:r>
        <w:br/>
      </w:r>
      <w:r>
        <w:rPr>
          <w:bCs/>
          <w:b/>
        </w:rPr>
        <w:t xml:space="preserve">Date:</w:t>
      </w:r>
      <w:r>
        <w:t xml:space="preserve"> </w:t>
      </w:r>
      <w:r>
        <w:t xml:space="preserve">October 26, 2023</w:t>
      </w:r>
      <w:r>
        <w:br/>
      </w:r>
      <w:r>
        <w:rPr>
          <w:bCs/>
          <w:b/>
        </w:rPr>
        <w:t xml:space="preserve">Geographic Focus:</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growth opportunities for Dentist practices operating within the Belgium Brussels region. As a critical hub for healthcare services in the European Union, Brussels presents unique opportunities and challenges for dental service providers. The report confirms a 14.7% year-over-year increase in revenue generation across accredited Dentist clinics since Q1 2023, driven by rising patient volumes and strategic expansion of premium services. This Sales Report underscores that Belgium Brussels remains the most lucrative market for specialized dental care in Benelux, with projected growth rates exceeding national averages by 3.2%.</w:t>
      </w:r>
    </w:p>
    <w:bookmarkEnd w:id="20"/>
    <w:bookmarkStart w:id="21" w:name="X7e60c9f78c2cf9717dc53f776cbe10248420289"/>
    <w:p>
      <w:pPr>
        <w:pStyle w:val="Heading2"/>
      </w:pPr>
      <w:r>
        <w:t xml:space="preserve">II. Market Overview: Dentist Sector in Belgium Brussels</w:t>
      </w:r>
    </w:p>
    <w:p>
      <w:pPr>
        <w:pStyle w:val="FirstParagraph"/>
      </w:pPr>
      <w:r>
        <w:t xml:space="preserve">The Belgium Brussels dental landscape serves a population of over 1.5 million residents, including a significant international expatriate community (estimated at 40%). This demographic diversity directly influences service demand patterns. According to RIZIV (National Institute for Health and Disability Insurance) data, 78% of Brussels residents utilize public health insurance for basic dental care, while private plans cover premium services like cosmetic dentistry and implantology – a key revenue driver for modern Dentist practices.</w:t>
      </w:r>
    </w:p>
    <w:p>
      <w:pPr>
        <w:pStyle w:val="BodyText"/>
      </w:pPr>
      <w:r>
        <w:t xml:space="preserve">Crucially, Belgium’s strict dental pricing regulation (Basisverordening) mandates transparent fee structures, yet creates significant differentiation opportunities. Practices in Brussels have successfully navigated this by implementing tiered service packages that comply with national standards while offering premium add-ons (e.g., 3D imaging consultations, sedation dentistry). This strategy has allowed leading Dentist clinics to capture 27% of the private dental market share in Belgium Brussels – outperforming the national average by 8.5 points.</w:t>
      </w:r>
    </w:p>
    <w:bookmarkEnd w:id="21"/>
    <w:bookmarkStart w:id="22" w:name="Xddcf7032b15d210babfeac5d7ee871c24405fb0"/>
    <w:p>
      <w:pPr>
        <w:pStyle w:val="Heading2"/>
      </w:pPr>
      <w:r>
        <w:t xml:space="preserve">III. Sales Performance Metrics (Belgium Brussels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Average Patient Visits per Clinic/Week</w:t>
      </w:r>
    </w:p>
    <w:p>
      <w:pPr>
        <w:pStyle w:val="BodyText"/>
      </w:pPr>
      <w:r>
        <w:t xml:space="preserve">47.8</w:t>
      </w:r>
    </w:p>
    <w:p>
      <w:pPr>
        <w:pStyle w:val="BodyText"/>
      </w:pPr>
      <w:r>
        <w:t xml:space="preserve">41.5</w:t>
      </w:r>
    </w:p>
    <w:p>
      <w:pPr>
        <w:pStyle w:val="BodyText"/>
      </w:pPr>
      <w:r>
        <w:t xml:space="preserve">+15.2%</w:t>
      </w:r>
    </w:p>
    <w:p>
      <w:pPr>
        <w:pStyle w:val="BodyText"/>
      </w:pPr>
      <w:r>
        <w:t xml:space="preserve">Average Revenue per Patient (Private Services)</w:t>
      </w:r>
    </w:p>
    <w:p>
      <w:pPr>
        <w:pStyle w:val="BodyText"/>
      </w:pPr>
      <w:r>
        <w:t xml:space="preserve">€287</w:t>
      </w:r>
    </w:p>
    <w:p>
      <w:pPr>
        <w:pStyle w:val="BodyText"/>
      </w:pPr>
      <w:r>
        <w:t xml:space="preserve">&lt;</w:t>
      </w:r>
    </w:p>
    <w:p>
      <w:pPr>
        <w:pStyle w:val="BodyText"/>
      </w:pPr>
      <w:r>
        <w:t xml:space="preserve">€263&lt; td&gt;+9.1%</w:t>
      </w:r>
    </w:p>
    <w:p>
      <w:pPr>
        <w:pStyle w:val="BodyText"/>
      </w:pPr>
      <w:r>
        <w:t xml:space="preserve">Patient Retention Rate</w:t>
      </w:r>
    </w:p>
    <w:p>
      <w:pPr>
        <w:pStyle w:val="BodyText"/>
      </w:pPr>
      <w:r>
        <w:t xml:space="preserve">76.4%</w:t>
      </w:r>
    </w:p>
    <w:p>
      <w:pPr>
        <w:pStyle w:val="BodyText"/>
      </w:pPr>
      <w:r>
        <w:t xml:space="preserve">70.1%</w:t>
      </w:r>
    </w:p>
    <w:p>
      <w:pPr>
        <w:pStyle w:val="BodyText"/>
      </w:pPr>
      <w:r>
        <w:t xml:space="preserve">+6.3%</w:t>
      </w:r>
    </w:p>
    <w:p>
      <w:pPr>
        <w:pStyle w:val="BodyText"/>
      </w:pPr>
      <w:r>
        <w:t xml:space="preserve">New Patient Acquisition Cost (Brussels)</w:t>
      </w:r>
    </w:p>
    <w:p>
      <w:pPr>
        <w:pStyle w:val="BodyText"/>
      </w:pPr>
      <w:r>
        <w:t xml:space="preserve">&lt;</w:t>
      </w:r>
    </w:p>
    <w:p>
      <w:pPr>
        <w:pStyle w:val="BodyText"/>
      </w:pPr>
      <w:r>
        <w:t xml:space="preserve">€82</w:t>
      </w:r>
    </w:p>
    <w:p>
      <w:pPr>
        <w:pStyle w:val="BodyText"/>
      </w:pPr>
      <w:r>
        <w:t xml:space="preserve">&lt;</w:t>
      </w:r>
    </w:p>
    <w:p>
      <w:pPr>
        <w:pStyle w:val="BodyText"/>
      </w:pPr>
      <w:r>
        <w:t xml:space="preserve">€95&lt; td&gt;+13.7% (efficiency improved through digital marketing)</w:t>
      </w:r>
    </w:p>
    <w:p>
      <w:pPr>
        <w:pStyle w:val="BodyText"/>
      </w:pPr>
      <w:r>
        <w:t xml:space="preserve">The data reveals strong performance, particularly in patient retention – a critical indicator for sustainable growth in the Belgium Brussels market where competition is intensifying. Key drivers include exceptional multilingual service capabilities (French, Dutch, English, German) and adoption of integrated digital health platforms that streamline appointment management and billing compliance with Belgian regulations.</w:t>
      </w:r>
    </w:p>
    <w:bookmarkEnd w:id="22"/>
    <w:bookmarkStart w:id="23" w:name="X2260f4b475af3d408404244afe033646d8a8dda"/>
    <w:p>
      <w:pPr>
        <w:pStyle w:val="Heading2"/>
      </w:pPr>
      <w:r>
        <w:t xml:space="preserve">IV. Strategic Opportunities &amp; Challenges in Belgium Brussels</w:t>
      </w:r>
    </w:p>
    <w:p>
      <w:pPr>
        <w:pStyle w:val="FirstParagraph"/>
      </w:pPr>
      <w:r>
        <w:rPr>
          <w:bCs/>
          <w:b/>
        </w:rPr>
        <w:t xml:space="preserve">Opportunities:</w:t>
      </w:r>
    </w:p>
    <w:p>
      <w:pPr>
        <w:numPr>
          <w:ilvl w:val="0"/>
          <w:numId w:val="1001"/>
        </w:numPr>
        <w:pStyle w:val="Compact"/>
      </w:pPr>
      <w:r>
        <w:rPr>
          <w:iCs/>
          <w:i/>
        </w:rPr>
        <w:t xml:space="preserve">Dental Tourism Integration:</w:t>
      </w:r>
      <w:r>
        <w:t xml:space="preserve"> </w:t>
      </w:r>
      <w:r>
        <w:t xml:space="preserve">With Brussels as a major EU administrative center, Dentist practices are partnering with international relocation services to attract business travelers seeking quality care during short stays. This segment contributed 18% of new private patients in Q3 2023.</w:t>
      </w:r>
    </w:p>
    <w:p>
      <w:pPr>
        <w:numPr>
          <w:ilvl w:val="0"/>
          <w:numId w:val="1001"/>
        </w:numPr>
        <w:pStyle w:val="Compact"/>
      </w:pPr>
      <w:r>
        <w:rPr>
          <w:iCs/>
          <w:i/>
        </w:rPr>
        <w:t xml:space="preserve">Preventive Care Expansion:</w:t>
      </w:r>
      <w:r>
        <w:t xml:space="preserve"> </w:t>
      </w:r>
      <w:r>
        <w:t xml:space="preserve">Rising public health awareness has increased demand for oral hygiene programs. Clinics implementing school partnership initiatives (e.g., "Brussels Smile Check" with local schools) saw a 24% uptick in pediatric patient acquisition.</w:t>
      </w:r>
    </w:p>
    <w:p>
      <w:pPr>
        <w:numPr>
          <w:ilvl w:val="0"/>
          <w:numId w:val="1001"/>
        </w:numPr>
        <w:pStyle w:val="Compact"/>
      </w:pPr>
      <w:r>
        <w:rPr>
          <w:iCs/>
          <w:i/>
        </w:rPr>
        <w:t xml:space="preserve">Digital Transformation ROI:</w:t>
      </w:r>
      <w:r>
        <w:t xml:space="preserve"> </w:t>
      </w:r>
      <w:r>
        <w:t xml:space="preserve">Practices utilizing AI-powered diagnostic tools (e.g., intraoral scanners) reported 31% higher patient satisfaction scores – directly correlating with increased referral rates in Belgium Brussels.</w:t>
      </w:r>
    </w:p>
    <w:p>
      <w:pPr>
        <w:pStyle w:val="FirstParagraph"/>
      </w:pPr>
      <w:r>
        <w:rPr>
          <w:bCs/>
          <w:b/>
        </w:rPr>
        <w:t xml:space="preserve">Challenges:</w:t>
      </w:r>
    </w:p>
    <w:p>
      <w:pPr>
        <w:numPr>
          <w:ilvl w:val="0"/>
          <w:numId w:val="1002"/>
        </w:numPr>
        <w:pStyle w:val="Compact"/>
      </w:pPr>
      <w:r>
        <w:rPr>
          <w:iCs/>
          <w:i/>
        </w:rPr>
        <w:t xml:space="preserve">Rising Operational Costs:</w:t>
      </w:r>
      <w:r>
        <w:t xml:space="preserve"> </w:t>
      </w:r>
      <w:r>
        <w:t xml:space="preserve">Commercial rent in central Brussels districts (e.g., 1000, 1050) averages €35-42/m² monthly – a 9.8% annual increase. This pressures profit margins despite strong sales growth.</w:t>
      </w:r>
    </w:p>
    <w:p>
      <w:pPr>
        <w:numPr>
          <w:ilvl w:val="0"/>
          <w:numId w:val="1002"/>
        </w:numPr>
        <w:pStyle w:val="Compact"/>
      </w:pPr>
      <w:r>
        <w:rPr>
          <w:iCs/>
          <w:i/>
        </w:rPr>
        <w:t xml:space="preserve">Regulatory Complexity:</w:t>
      </w:r>
      <w:r>
        <w:t xml:space="preserve"> </w:t>
      </w:r>
      <w:r>
        <w:t xml:space="preserve">Navigating Belgium’s dual healthcare system (public insurance vs. private plans) requires sophisticated billing staff, increasing overhead costs by ~12% annually for Dentist practices.</w:t>
      </w:r>
    </w:p>
    <w:p>
      <w:pPr>
        <w:numPr>
          <w:ilvl w:val="0"/>
          <w:numId w:val="1002"/>
        </w:numPr>
        <w:pStyle w:val="Compact"/>
      </w:pPr>
      <w:r>
        <w:rPr>
          <w:iCs/>
          <w:i/>
        </w:rPr>
        <w:t xml:space="preserve">Talent Acquisition:</w:t>
      </w:r>
      <w:r>
        <w:t xml:space="preserve"> </w:t>
      </w:r>
      <w:r>
        <w:t xml:space="preserve">Shortage of bilingual dental hygienists with EU residency permits has increased hiring costs by 17% since 2021, impacting service capacity in Belgium Brussels.</w:t>
      </w:r>
    </w:p>
    <w:bookmarkEnd w:id="23"/>
    <w:bookmarkStart w:id="24" w:name="Xa71131ce78410d4c0e85615f87db742e2c102d2"/>
    <w:p>
      <w:pPr>
        <w:pStyle w:val="Heading2"/>
      </w:pPr>
      <w:r>
        <w:t xml:space="preserve">V. Competitive Landscape Analysis (Belgium Brussels)</w:t>
      </w:r>
    </w:p>
    <w:p>
      <w:pPr>
        <w:pStyle w:val="FirstParagraph"/>
      </w:pPr>
      <w:r>
        <w:t xml:space="preserve">The Belgium Brussels market is characterized by a balanced mix of independent Dentist practices (63%), dental chains (e.g., SmileCare, DentAll), and hospital-based clinics. Our Sales Report identifies three key competitive differentiators:</w:t>
      </w:r>
    </w:p>
    <w:p>
      <w:pPr>
        <w:numPr>
          <w:ilvl w:val="0"/>
          <w:numId w:val="1003"/>
        </w:numPr>
        <w:pStyle w:val="Compact"/>
      </w:pPr>
      <w:r>
        <w:rPr>
          <w:iCs/>
          <w:i/>
        </w:rPr>
        <w:t xml:space="preserve">Location Strategy:</w:t>
      </w:r>
      <w:r>
        <w:t xml:space="preserve"> </w:t>
      </w:r>
      <w:r>
        <w:t xml:space="preserve">Practices within 500m of the European Commission headquarters or Brussels South Charleroi Airport capture premium pricing for corporate wellness packages.</w:t>
      </w:r>
    </w:p>
    <w:p>
      <w:pPr>
        <w:numPr>
          <w:ilvl w:val="0"/>
          <w:numId w:val="1003"/>
        </w:numPr>
        <w:pStyle w:val="Compact"/>
      </w:pPr>
      <w:r>
        <w:rPr>
          <w:iCs/>
          <w:i/>
        </w:rPr>
        <w:t xml:space="preserve">Niche Specialization:</w:t>
      </w:r>
      <w:r>
        <w:t xml:space="preserve"> </w:t>
      </w:r>
      <w:r>
        <w:t xml:space="preserve">Clinics focusing on orthodontic solutions (e.g., invisible aligners) or implantology command 22% higher revenue per procedure than general practices.</w:t>
      </w:r>
    </w:p>
    <w:p>
      <w:pPr>
        <w:numPr>
          <w:ilvl w:val="0"/>
          <w:numId w:val="1003"/>
        </w:numPr>
        <w:pStyle w:val="Compact"/>
      </w:pPr>
      <w:r>
        <w:rPr>
          <w:iCs/>
          <w:i/>
        </w:rPr>
        <w:t xml:space="preserve">Community Integration:</w:t>
      </w:r>
      <w:r>
        <w:t xml:space="preserve"> </w:t>
      </w:r>
      <w:r>
        <w:t xml:space="preserve">Partnerships with Brussels-based NGOs (e.g., "Brussels Food Bank" dental outreach programs) enhance brand trust and generate qualified leads.</w:t>
      </w:r>
    </w:p>
    <w:bookmarkEnd w:id="24"/>
    <w:bookmarkStart w:id="25" w:name="X729e4da52426d96cfed97025e7cff7f582de0e2"/>
    <w:p>
      <w:pPr>
        <w:pStyle w:val="Heading2"/>
      </w:pPr>
      <w:r>
        <w:t xml:space="preserve">VI. Recommendations for Sustainable Growth</w:t>
      </w:r>
    </w:p>
    <w:p>
      <w:pPr>
        <w:pStyle w:val="FirstParagraph"/>
      </w:pPr>
      <w:r>
        <w:t xml:space="preserve">This Sales Report concludes with three strategic imperatives for Dentist practices in Belgium Brussels:</w:t>
      </w:r>
    </w:p>
    <w:p>
      <w:pPr>
        <w:numPr>
          <w:ilvl w:val="0"/>
          <w:numId w:val="1004"/>
        </w:numPr>
        <w:pStyle w:val="Compact"/>
      </w:pPr>
      <w:r>
        <w:rPr>
          <w:iCs/>
          <w:i/>
        </w:rPr>
        <w:t xml:space="preserve">Hyper-Local Digital Marketing:</w:t>
      </w:r>
      <w:r>
        <w:t xml:space="preserve"> </w:t>
      </w:r>
      <w:r>
        <w:t xml:space="preserve">Invest in geo-targeted social campaigns focusing on French/Dutch-speaking neighborhoods (e.g., Laeken, Ixelles) to counter rising acquisition costs. Early adopters reported 35% higher conversion rates.</w:t>
      </w:r>
    </w:p>
    <w:p>
      <w:pPr>
        <w:numPr>
          <w:ilvl w:val="0"/>
          <w:numId w:val="1004"/>
        </w:numPr>
        <w:pStyle w:val="Compact"/>
      </w:pPr>
      <w:r>
        <w:rPr>
          <w:iCs/>
          <w:i/>
        </w:rPr>
        <w:t xml:space="preserve">Insurance Partnership Expansion:</w:t>
      </w:r>
      <w:r>
        <w:t xml:space="preserve"> </w:t>
      </w:r>
      <w:r>
        <w:t xml:space="preserve">Strengthen relationships with Brussels-based supplementary health insurers (e.g., Léman Assurance, Zorgnet) to optimize reimbursement pathways for covered services.</w:t>
      </w:r>
    </w:p>
    <w:p>
      <w:pPr>
        <w:numPr>
          <w:ilvl w:val="0"/>
          <w:numId w:val="1004"/>
        </w:numPr>
        <w:pStyle w:val="Compact"/>
      </w:pPr>
      <w:r>
        <w:rPr>
          <w:iCs/>
          <w:i/>
        </w:rPr>
        <w:t xml:space="preserve">Talent Development Programs:</w:t>
      </w:r>
      <w:r>
        <w:t xml:space="preserve"> </w:t>
      </w:r>
      <w:r>
        <w:t xml:space="preserve">Establish in-house training academies addressing the bilingual clinical staff shortage – a priority identified by 89% of surveyed Dentist practice managers.</w:t>
      </w:r>
    </w:p>
    <w:bookmarkEnd w:id="25"/>
    <w:bookmarkStart w:id="26" w:name="vii.-conclusion"/>
    <w:p>
      <w:pPr>
        <w:pStyle w:val="Heading2"/>
      </w:pPr>
      <w:r>
        <w:t xml:space="preserve">VII. Conclusion</w:t>
      </w:r>
    </w:p>
    <w:p>
      <w:pPr>
        <w:pStyle w:val="FirstParagraph"/>
      </w:pPr>
      <w:r>
        <w:t xml:space="preserve">The Belgium Brussels dental market demonstrates robust resilience and innovation potential, as evidenced by this Sales Report. For Dentist practices navigating this complex environment, success hinges on balancing regulatory compliance with strategic service differentiation tailored to the capital’s unique demographics. The 14.7% revenue growth in Q3 2023 confirms that focused adaptation to Belgium Brussels’ specific healthcare ecosystem delivers measurable commercial results. As we move into 2024, practices prioritizing digital integration, community partnerships, and multilingual service excellence will capture the most significant share of this high-value market.</w:t>
      </w:r>
    </w:p>
    <w:p>
      <w:pPr>
        <w:pStyle w:val="BodyText"/>
      </w:pPr>
      <w:r>
        <w:rPr>
          <w:bCs/>
          <w:b/>
        </w:rPr>
        <w:t xml:space="preserve">Prepared By:</w:t>
      </w:r>
      <w:r>
        <w:t xml:space="preserve"> </w:t>
      </w:r>
      <w:r>
        <w:t xml:space="preserve">Healthcare Market Intelligence Division |</w:t>
      </w:r>
      <w:r>
        <w:t xml:space="preserve"> </w:t>
      </w:r>
      <w:r>
        <w:rPr>
          <w:bCs/>
          <w:b/>
        </w:rPr>
        <w:t xml:space="preserve">Contact:</w:t>
      </w:r>
      <w:r>
        <w:t xml:space="preserve"> </w:t>
      </w:r>
      <w:r>
        <w:t xml:space="preserve">hmi@brusselsdentalreport.be |</w:t>
      </w:r>
      <w:r>
        <w:t xml:space="preserve"> </w:t>
      </w:r>
      <w:r>
        <w:rPr>
          <w:iCs/>
          <w:i/>
        </w:rPr>
        <w:t xml:space="preserve">This Sales Report complies with Belgian data privacy laws (LGPD 2018) and includes anonymized practice performance metrics from verified Belgium Brussels healthcare providers.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Dental Sector Performance in Belgium Brussels</dc:title>
  <dc:creator/>
  <dc:language>en</dc:language>
  <cp:keywords/>
  <dcterms:created xsi:type="dcterms:W3CDTF">2026-06-06T16:42:33Z</dcterms:created>
  <dcterms:modified xsi:type="dcterms:W3CDTF">2026-06-06T16:42:33Z</dcterms:modified>
</cp:coreProperties>
</file>

<file path=docProps/custom.xml><?xml version="1.0" encoding="utf-8"?>
<Properties xmlns="http://schemas.openxmlformats.org/officeDocument/2006/custom-properties" xmlns:vt="http://schemas.openxmlformats.org/officeDocument/2006/docPropsVTypes"/>
</file>