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7" w:name="X9a13c8b7aee0e5e3ec564fcf6dc6d0d16336984"/>
    <w:p>
      <w:pPr>
        <w:pStyle w:val="Heading1"/>
      </w:pPr>
      <w:r>
        <w:t xml:space="preserve">Comprehensive Sales Report: Dental Practice Performance in Brazil, Brasília Region</w:t>
      </w:r>
    </w:p>
    <w:bookmarkStart w:id="20" w:name="executive-summary"/>
    <w:p>
      <w:pPr>
        <w:pStyle w:val="Heading2"/>
      </w:pPr>
      <w:r>
        <w:t xml:space="preserve">Executive Summary</w:t>
      </w:r>
    </w:p>
    <w:p>
      <w:pPr>
        <w:pStyle w:val="FirstParagraph"/>
      </w:pPr>
      <w:r>
        <w:t xml:space="preserve">This Sales Report presents a detailed analysis of the performance metrics for "Clínica Sorriso Brasília," a premier dental practice operating within the Federal District of Brazil. Covering the period from January 1, 2023, to December 31, 2023, this document underscores critical sales trends, patient acquisition strategies, revenue streams, and market positioning specifically tailored for the unique dynamics of the Brasília metropolitan area. As one of Brazil's most influential political and administrative hubs with a population exceeding 3 million residents in its core city and surrounding satellite municipalities (Gama, Taguatinga), Brasília presents a high-value market for premium dental services. This report confirms that our Dentist-led practice has achieved significant growth (+24.7% year-over-year revenue) by aligning service offerings with the specific health priorities and economic profile of Brazilians in the nation's capital.</w:t>
      </w:r>
    </w:p>
    <w:bookmarkEnd w:id="20"/>
    <w:bookmarkStart w:id="21" w:name="X548cd143526558de8b5e16aa3198bfa88506e7d"/>
    <w:p>
      <w:pPr>
        <w:pStyle w:val="Heading2"/>
      </w:pPr>
      <w:r>
        <w:t xml:space="preserve">Key Sales Performance Metrics: Brazil Brasília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Q4 2023 (Actual)</w:t>
            </w:r>
          </w:p>
        </w:tc>
        <w:tc>
          <w:tcPr/>
          <w:p>
            <w:pPr>
              <w:pStyle w:val="Compact"/>
              <w:jc w:val="left"/>
            </w:pPr>
            <w:r>
              <w:t xml:space="preserve">Q4 2022 (Actual)</w:t>
            </w:r>
          </w:p>
        </w:tc>
        <w:tc>
          <w:tcPr/>
          <w:p>
            <w:pPr>
              <w:pStyle w:val="Compact"/>
              <w:jc w:val="left"/>
            </w:pPr>
            <w:r>
              <w:t xml:space="preserve">% Change</w:t>
            </w:r>
          </w:p>
        </w:tc>
      </w:tr>
      <w:tr>
        <w:tc>
          <w:tcPr/>
          <w:p>
            <w:pPr>
              <w:pStyle w:val="Compact"/>
              <w:jc w:val="left"/>
            </w:pPr>
            <w:r>
              <w:t xml:space="preserve">Total Revenue (BRL)</w:t>
            </w:r>
          </w:p>
        </w:tc>
        <w:tc>
          <w:tcPr/>
          <w:p>
            <w:pPr>
              <w:pStyle w:val="Compact"/>
              <w:jc w:val="left"/>
            </w:pPr>
            <w:r>
              <w:t xml:space="preserve">R$ 1,875,000</w:t>
            </w:r>
          </w:p>
        </w:tc>
        <w:tc>
          <w:tcPr/>
          <w:p>
            <w:pPr>
              <w:pStyle w:val="Compact"/>
              <w:jc w:val="left"/>
            </w:pPr>
            <w:r>
              <w:t xml:space="preserve">R$ 1,543,000</w:t>
            </w:r>
          </w:p>
        </w:tc>
        <w:tc>
          <w:tcPr/>
          <w:p>
            <w:pPr>
              <w:pStyle w:val="Compact"/>
              <w:jc w:val="left"/>
            </w:pPr>
            <w:r>
              <w:t xml:space="preserve">+21.5%</w:t>
            </w:r>
          </w:p>
        </w:tc>
      </w:tr>
      <w:tr>
        <w:tc>
          <w:tcPr/>
          <w:p>
            <w:pPr>
              <w:pStyle w:val="Compact"/>
              <w:jc w:val="left"/>
            </w:pPr>
            <w:r>
              <w:t xml:space="preserve">New Patient Acquisitions (Brasília)</w:t>
            </w:r>
          </w:p>
        </w:tc>
        <w:tc>
          <w:tcPr/>
          <w:p>
            <w:pPr>
              <w:pStyle w:val="Compact"/>
              <w:jc w:val="left"/>
            </w:pPr>
            <w:r>
              <w:t xml:space="preserve">287</w:t>
            </w:r>
          </w:p>
        </w:tc>
        <w:tc>
          <w:tcPr/>
          <w:p>
            <w:pPr>
              <w:pStyle w:val="Compact"/>
              <w:jc w:val="left"/>
            </w:pPr>
            <w:r>
              <w:t xml:space="preserve">219</w:t>
            </w:r>
          </w:p>
        </w:tc>
        <w:tc>
          <w:tcPr/>
          <w:p>
            <w:pPr>
              <w:pStyle w:val="Compact"/>
              <w:jc w:val="left"/>
            </w:pPr>
            <w:r>
              <w:t xml:space="preserve">+31.0%</w:t>
            </w:r>
          </w:p>
        </w:tc>
      </w:tr>
      <w:tr>
        <w:tc>
          <w:tcPr/>
          <w:p>
            <w:pPr>
              <w:pStyle w:val="Compact"/>
              <w:jc w:val="left"/>
            </w:pPr>
            <w:r>
              <w:t xml:space="preserve">Average Revenue per Patient (ARPP)</w:t>
            </w:r>
          </w:p>
        </w:tc>
        <w:tc>
          <w:tcPr/>
          <w:p>
            <w:pPr>
              <w:pStyle w:val="Compact"/>
              <w:jc w:val="left"/>
            </w:pPr>
            <w:r>
              <w:t xml:space="preserve">R$ 1,450</w:t>
            </w:r>
          </w:p>
        </w:tc>
        <w:tc>
          <w:tcPr/>
          <w:p>
            <w:pPr>
              <w:pStyle w:val="Compact"/>
              <w:jc w:val="left"/>
            </w:pPr>
            <w:r>
              <w:t xml:space="preserve">R$ 1,385</w:t>
            </w:r>
          </w:p>
        </w:tc>
        <w:tc>
          <w:tcPr/>
          <w:p>
            <w:pPr>
              <w:pStyle w:val="Compact"/>
              <w:jc w:val="left"/>
            </w:pPr>
            <w:r>
              <w:t xml:space="preserve">+4.7%</w:t>
            </w:r>
          </w:p>
        </w:tc>
      </w:tr>
      <w:tr>
        <w:tc>
          <w:tcPr/>
          <w:p>
            <w:pPr>
              <w:pStyle w:val="Compact"/>
              <w:jc w:val="left"/>
            </w:pPr>
            <w:r>
              <w:t xml:space="preserve">Proportion of Cosmetic Procedures (e.g., Veneers, Whitening)</w:t>
            </w:r>
          </w:p>
        </w:tc>
        <w:tc>
          <w:tcPr/>
          <w:p>
            <w:pPr>
              <w:pStyle w:val="Compact"/>
              <w:jc w:val="left"/>
            </w:pPr>
            <w:r>
              <w:t xml:space="preserve">38%</w:t>
            </w:r>
          </w:p>
        </w:tc>
        <w:tc>
          <w:tcPr/>
          <w:p>
            <w:pPr>
              <w:pStyle w:val="Compact"/>
              <w:jc w:val="left"/>
            </w:pPr>
            <w:r>
              <w:t xml:space="preserve">29%</w:t>
            </w:r>
          </w:p>
        </w:tc>
        <w:tc>
          <w:tcPr/>
          <w:p>
            <w:pPr>
              <w:pStyle w:val="Compact"/>
              <w:jc w:val="left"/>
            </w:pPr>
            <w:r>
              <w:t xml:space="preserve">+9 pts</w:t>
            </w:r>
          </w:p>
        </w:tc>
      </w:tr>
      <w:tr>
        <w:tc>
          <w:tcPr/>
          <w:p>
            <w:pPr>
              <w:pStyle w:val="Compact"/>
              <w:jc w:val="left"/>
            </w:pPr>
            <w:r>
              <w:t xml:space="preserve">Patient Retention Rate (Brasília Residents)</w:t>
            </w:r>
          </w:p>
        </w:tc>
        <w:tc>
          <w:tcPr/>
          <w:p>
            <w:pPr>
              <w:pStyle w:val="Compact"/>
              <w:jc w:val="left"/>
            </w:pPr>
            <w:r>
              <w:t xml:space="preserve">76.5%</w:t>
            </w:r>
          </w:p>
        </w:tc>
        <w:tc>
          <w:tcPr/>
          <w:p>
            <w:pPr>
              <w:pStyle w:val="Compact"/>
              <w:jc w:val="left"/>
            </w:pPr>
            <w:r>
              <w:t xml:space="preserve">70.1%</w:t>
            </w:r>
          </w:p>
        </w:tc>
        <w:tc>
          <w:tcPr/>
          <w:p>
            <w:pPr>
              <w:pStyle w:val="Compact"/>
              <w:jc w:val="left"/>
            </w:pPr>
            <w:r>
              <w:t xml:space="preserve">+6.4 pts</w:t>
            </w:r>
          </w:p>
        </w:tc>
      </w:tr>
    </w:tbl>
    <w:bookmarkEnd w:id="21"/>
    <w:bookmarkStart w:id="22" w:name="Xa2e602717e750b8aa394bf8c3c35d7bee499fbe"/>
    <w:p>
      <w:pPr>
        <w:pStyle w:val="Heading2"/>
      </w:pPr>
      <w:r>
        <w:t xml:space="preserve">Regional Analysis: Understanding the Brasília Dental Market</w:t>
      </w:r>
    </w:p>
    <w:p>
      <w:pPr>
        <w:pStyle w:val="FirstParagraph"/>
      </w:pPr>
      <w:r>
        <w:t xml:space="preserve">The success of this Sales Report is intrinsically linked to our strategic focus on the distinct neighborhoods within Brazil Brasília. The Asa Sul and Asa Norte districts, home to federal officials, corporate executives, and affluent families (representing 45% of total patient volume), demand high-end cosmetic dentistry services. Our "Premium Smile Enhancement Package" saw a 37% increase in sales here, directly contributing to the overall rise in ARPP. Simultaneously, areas like Ceilândia and Samambaia (28% of patients) reflect a strong demand for cost-effective preventive care and orthodontics. Our partnership with local schools (e.g., Escola Municipal de Brasília) for free dental screenings significantly boosted new patient acquisition in these communities by 18%. Crucially, the report highlights that understanding Brasília's socio-economic stratification is non-negotiable; a one-size-fits-all approach to sales strategy would fail in this diverse market.</w:t>
      </w:r>
    </w:p>
    <w:bookmarkEnd w:id="22"/>
    <w:bookmarkStart w:id="23" w:name="X4db2dfbacc5f1d086319156487dc147672ed57d"/>
    <w:p>
      <w:pPr>
        <w:pStyle w:val="Heading2"/>
      </w:pPr>
      <w:r>
        <w:t xml:space="preserve">Strategic Sales Initiatives Driving Growth</w:t>
      </w:r>
    </w:p>
    <w:p>
      <w:pPr>
        <w:pStyle w:val="FirstParagraph"/>
      </w:pPr>
      <w:r>
        <w:t xml:space="preserve">This Sales Report identifies three key initiatives as the primary drivers of our Dentist practice's success in Brazil Brasília:</w:t>
      </w:r>
    </w:p>
    <w:p>
      <w:pPr>
        <w:numPr>
          <w:ilvl w:val="0"/>
          <w:numId w:val="1001"/>
        </w:numPr>
        <w:pStyle w:val="Compact"/>
      </w:pPr>
      <w:r>
        <w:rPr>
          <w:bCs/>
          <w:b/>
        </w:rPr>
        <w:t xml:space="preserve">Hyper-Local Digital Marketing:</w:t>
      </w:r>
      <w:r>
        <w:t xml:space="preserve"> </w:t>
      </w:r>
      <w:r>
        <w:t xml:space="preserve">Targeted Facebook/Instagram campaigns focusing on specific neighborhoods (e.g., "Dentist in Taguatinga: Premium Care Near Parque da Cidade") utilizing Portuguese-language content and local influencers. This reduced cost-per-acquisition by 22% compared to city-wide campaigns.</w:t>
      </w:r>
    </w:p>
    <w:p>
      <w:pPr>
        <w:numPr>
          <w:ilvl w:val="0"/>
          <w:numId w:val="1001"/>
        </w:numPr>
        <w:pStyle w:val="Compact"/>
      </w:pPr>
      <w:r>
        <w:rPr>
          <w:bCs/>
          <w:b/>
        </w:rPr>
        <w:t xml:space="preserve">Strategic Payment Partnerships:</w:t>
      </w:r>
      <w:r>
        <w:t xml:space="preserve"> </w:t>
      </w:r>
      <w:r>
        <w:t xml:space="preserve">Integration with Brazil's national Pix instant payment system (now used by 68% of our patients for appointments) and partnerships with major local banks (Banco do Brasil, Itaú) offering flexible financing for complex procedures. This directly addressed a critical barrier to service uptake in the Brasília market.</w:t>
      </w:r>
    </w:p>
    <w:p>
      <w:pPr>
        <w:numPr>
          <w:ilvl w:val="0"/>
          <w:numId w:val="1001"/>
        </w:numPr>
        <w:pStyle w:val="Compact"/>
      </w:pPr>
      <w:r>
        <w:rPr>
          <w:bCs/>
          <w:b/>
        </w:rPr>
        <w:t xml:space="preserve">Patient-Centric Service Bundles:</w:t>
      </w:r>
      <w:r>
        <w:t xml:space="preserve"> </w:t>
      </w:r>
      <w:r>
        <w:t xml:space="preserve">Developing "Family Dental Plans" tailored for government employee households (common in Brasília) and "Executive Dental Check-ups" targeting corporate clients, both significantly increasing average procedure volumes per patient.</w:t>
      </w:r>
    </w:p>
    <w:bookmarkEnd w:id="23"/>
    <w:bookmarkStart w:id="24" w:name="X0dec5b0a4338590e55bdbca230bc7618c12d5d2"/>
    <w:p>
      <w:pPr>
        <w:pStyle w:val="Heading2"/>
      </w:pPr>
      <w:r>
        <w:t xml:space="preserve">Challenges &amp; Competitive Landscape in Brazil Brasília</w:t>
      </w:r>
    </w:p>
    <w:p>
      <w:pPr>
        <w:pStyle w:val="FirstParagraph"/>
      </w:pPr>
      <w:r>
        <w:t xml:space="preserve">The Sales Report candidly addresses challenges specific to the Brazilian capital. The most significant is rising operational costs (inflation at 5.7% YoY), impacting dental materials and staff retention. Furthermore, competition from large, well-funded chains (like Dentista &amp; Cia) operating in Brasília's commercial centers poses a threat to our premium positioning. However, the report emphasizes that our Dentist practice maintains a competitive edge through personalized care – patients consistently cite "feeling truly heard" as their primary reason for returning. The local ANVISA regulatory environment also necessitates constant adaptation in billing and patient data management, which we have successfully integrated into our sales process without adding friction.</w:t>
      </w:r>
    </w:p>
    <w:bookmarkEnd w:id="24"/>
    <w:bookmarkStart w:id="25" w:name="Xf86d303321943d911c435535c0bd20e20689e65"/>
    <w:p>
      <w:pPr>
        <w:pStyle w:val="Heading2"/>
      </w:pPr>
      <w:r>
        <w:t xml:space="preserve">Future Growth Opportunities: Brazil Brasília Focus</w:t>
      </w:r>
    </w:p>
    <w:p>
      <w:pPr>
        <w:pStyle w:val="FirstParagraph"/>
      </w:pPr>
      <w:r>
        <w:t xml:space="preserve">Based on this comprehensive Sales Report analysis, the strategic focus for 2024 will be:</w:t>
      </w:r>
    </w:p>
    <w:p>
      <w:pPr>
        <w:numPr>
          <w:ilvl w:val="0"/>
          <w:numId w:val="1002"/>
        </w:numPr>
        <w:pStyle w:val="Compact"/>
      </w:pPr>
      <w:r>
        <w:rPr>
          <w:bCs/>
          <w:b/>
        </w:rPr>
        <w:t xml:space="preserve">Expanding Cosmetic Dentistry Offerings:</w:t>
      </w:r>
      <w:r>
        <w:t xml:space="preserve"> </w:t>
      </w:r>
      <w:r>
        <w:t xml:space="preserve">Launching a specialized "Brasília Smile Design Studio" focused on digital smile simulations, addressing the high demand identified in our customer surveys (78% of patients expressed interest).</w:t>
      </w:r>
    </w:p>
    <w:p>
      <w:pPr>
        <w:numPr>
          <w:ilvl w:val="0"/>
          <w:numId w:val="1002"/>
        </w:numPr>
        <w:pStyle w:val="Compact"/>
      </w:pPr>
      <w:r>
        <w:rPr>
          <w:bCs/>
          <w:b/>
        </w:rPr>
        <w:t xml:space="preserve">Strengthening Public Health Partnerships:</w:t>
      </w:r>
      <w:r>
        <w:t xml:space="preserve"> </w:t>
      </w:r>
      <w:r>
        <w:t xml:space="preserve">Exploring formal collaborations with SUS (Unified Health System) facilities in under-served Brasília regions to provide subsidized care, generating goodwill and expanding the patient base for future premium services.</w:t>
      </w:r>
    </w:p>
    <w:p>
      <w:pPr>
        <w:numPr>
          <w:ilvl w:val="0"/>
          <w:numId w:val="1002"/>
        </w:numPr>
        <w:pStyle w:val="Compact"/>
      </w:pPr>
      <w:r>
        <w:rPr>
          <w:bCs/>
          <w:b/>
        </w:rPr>
        <w:t xml:space="preserve">Leveraging Brasília's Infrastructure:</w:t>
      </w:r>
      <w:r>
        <w:t xml:space="preserve"> </w:t>
      </w:r>
      <w:r>
        <w:t xml:space="preserve">Utilizing the city's new cultural hubs (e.g., Parque da Cidade) for wellness events combining dental health with general lifestyle education, directly engaging target demographics.</w:t>
      </w:r>
    </w:p>
    <w:bookmarkEnd w:id="25"/>
    <w:bookmarkStart w:id="26" w:name="X5bb8dcd01f00e2ca9b5695f9b8b47646186e49a"/>
    <w:p>
      <w:pPr>
        <w:pStyle w:val="Heading2"/>
      </w:pPr>
      <w:r>
        <w:t xml:space="preserve">Conclusion: Sales Report as a Strategic Compass</w:t>
      </w:r>
    </w:p>
    <w:p>
      <w:pPr>
        <w:pStyle w:val="FirstParagraph"/>
      </w:pPr>
      <w:r>
        <w:t xml:space="preserve">This Sales Report unequivocally demonstrates that the success of our Dentist practice in Brazil Brasília is not accidental. It is the direct result of deep market understanding, hyper-localized sales strategies, and a commitment to delivering exceptional patient value within the specific context of Brazil's capital city. The data reveals a thriving practice where growth is driven by strategic alignment with Brasília residents' needs – from corporate professionals seeking cosmetic excellence in Asa Sul to families in Ceilândia prioritizing accessible preventive care. Moving forward, continuous adaptation based on this Sales Report will ensure "Clínica Sorriso Brasília" remains the trusted Dentist of choice, solidifying its position as a leading dental service provider across Brazil Brasília's dynamic landscape. The metrics confirm that understanding the nuances of the local market is not just beneficial – it is fundamental to sustained sales success in this critical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Practice Performance in Brazil Brasília</dc:title>
  <dc:creator/>
  <cp:keywords/>
  <dcterms:created xsi:type="dcterms:W3CDTF">2026-07-24T03:41:53Z</dcterms:created>
  <dcterms:modified xsi:type="dcterms:W3CDTF">2026-07-24T03:41:53Z</dcterms:modified>
</cp:coreProperties>
</file>

<file path=docProps/custom.xml><?xml version="1.0" encoding="utf-8"?>
<Properties xmlns="http://schemas.openxmlformats.org/officeDocument/2006/custom-properties" xmlns:vt="http://schemas.openxmlformats.org/officeDocument/2006/docPropsVTypes"/>
</file>