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Dental</w:t>
      </w:r>
      <w:r>
        <w:t xml:space="preserve"> </w:t>
      </w:r>
      <w:r>
        <w:t xml:space="preserve">Practice</w:t>
      </w:r>
      <w:r>
        <w:t xml:space="preserve"> </w:t>
      </w:r>
      <w:r>
        <w:t xml:space="preserve">Performance</w:t>
      </w:r>
      <w:r>
        <w:t xml:space="preserve"> </w:t>
      </w:r>
      <w:r>
        <w:t xml:space="preserve">Analysis</w:t>
      </w:r>
      <w:r>
        <w:t xml:space="preserve"> </w:t>
      </w:r>
      <w:r>
        <w:t xml:space="preserve">-</w:t>
      </w:r>
      <w:r>
        <w:t xml:space="preserve"> </w:t>
      </w:r>
      <w:r>
        <w:t xml:space="preserve">Addis</w:t>
      </w:r>
      <w:r>
        <w:t xml:space="preserve"> </w:t>
      </w:r>
      <w:r>
        <w:t xml:space="preserve">Ababa,</w:t>
      </w:r>
      <w:r>
        <w:t xml:space="preserve"> </w:t>
      </w:r>
      <w:r>
        <w:t xml:space="preserve">Ethiopia</w:t>
      </w:r>
    </w:p>
    <w:bookmarkStart w:id="28" w:name="X6b12e93d4c2a3b3e51b43cd575469c8c848409a"/>
    <w:p>
      <w:pPr>
        <w:pStyle w:val="Heading1"/>
      </w:pPr>
      <w:r>
        <w:t xml:space="preserve">Sales Report: Comprehensive Performance Analysis of [Dentist Name] Dental Clinic, Addis Ababa, Ethiopia</w:t>
      </w:r>
    </w:p>
    <w:bookmarkStart w:id="20" w:name="executive-summary"/>
    <w:p>
      <w:pPr>
        <w:pStyle w:val="Heading2"/>
      </w:pPr>
      <w:r>
        <w:t xml:space="preserve">Executive Summary</w:t>
      </w:r>
    </w:p>
    <w:p>
      <w:pPr>
        <w:pStyle w:val="FirstParagraph"/>
      </w:pPr>
      <w:r>
        <w:t xml:space="preserve">This Sales Report provides a detailed analysis of the operational and financial performance for [Dentist Name] Dental Clinic during the fiscal quarter ending March 31, 2024. As a premier dental practice serving the bustling metropolis of Addis Ababa, Ethiopia, this report underscores critical insights into patient acquisition, service utilization patterns, revenue streams, and strategic opportunities within the unique Ethiopian healthcare landscape. The clinic has demonstrated consistent growth in patient volume (+18% YoY) and profitability (+22% net margin), positioning it as a trusted provider in the Addis Ababa community. This document is essential for stakeholders to understand market dynamics specifically relevant to dental services in Ethiopia, focusing on the urban center of Addis Ababa.</w:t>
      </w:r>
    </w:p>
    <w:bookmarkEnd w:id="20"/>
    <w:bookmarkStart w:id="21" w:name="X719773349bf14bde9ab83e3f1ae8544500e7095"/>
    <w:p>
      <w:pPr>
        <w:pStyle w:val="Heading2"/>
      </w:pPr>
      <w:r>
        <w:t xml:space="preserve">Market Context: Dental Demand in Addis Ababa, Ethiopia</w:t>
      </w:r>
    </w:p>
    <w:p>
      <w:pPr>
        <w:pStyle w:val="FirstParagraph"/>
      </w:pPr>
      <w:r>
        <w:t xml:space="preserve">The dental healthcare sector in Addis Ababa faces significant unmet demand. With limited access to quality public dental services and a growing middle class increasingly prioritizing oral health, private clinics like [Dentist Name] are experiencing robust patient inflow. According to the Ethiopian Ministry of Health's 2023 report, only 15% of Addis Ababa residents have regular access to preventive dental care. This gap creates a fertile market for specialized dental practices operating in key neighborhoods such as Kirkos, Bole, and Yeka. Our Sales Report confirms that patient acquisition has been driven by targeted community outreach (e.g., free screenings at local *woreda* offices) and partnerships with Addis Ababa-based insurance providers like Ethiopian Insurance Corporation (EIC), which now covers basic dental procedures for 35% of our patients.</w:t>
      </w:r>
    </w:p>
    <w:bookmarkEnd w:id="21"/>
    <w:bookmarkStart w:id="22" w:name="X068696b7cb37df85800bd6128a3580da253b876"/>
    <w:p>
      <w:pPr>
        <w:pStyle w:val="Heading2"/>
      </w:pPr>
      <w:r>
        <w:t xml:space="preserve">Monthly Sales Performance Breakdown (January - March 2024)</w:t>
      </w:r>
    </w:p>
    <w:p>
      <w:pPr>
        <w:pStyle w:val="FirstParagraph"/>
      </w:pPr>
      <w:r>
        <w:t xml:space="preserve">Service Type</w:t>
      </w:r>
    </w:p>
    <w:p>
      <w:pPr>
        <w:pStyle w:val="BodyText"/>
      </w:pPr>
      <w:r>
        <w:t xml:space="preserve">Jan 2024 (ETB)</w:t>
      </w:r>
    </w:p>
    <w:p>
      <w:pPr>
        <w:pStyle w:val="BodyText"/>
      </w:pPr>
      <w:r>
        <w:t xml:space="preserve">Feb 2024 (ETB)</w:t>
      </w:r>
    </w:p>
    <w:p>
      <w:pPr>
        <w:pStyle w:val="BodyText"/>
      </w:pPr>
      <w:r>
        <w:t xml:space="preserve">Mar 2024 (ETB)</w:t>
      </w:r>
    </w:p>
    <w:p>
      <w:pPr>
        <w:pStyle w:val="BodyText"/>
      </w:pPr>
      <w:r>
        <w:t xml:space="preserve">Total Q1 Revenue (ETB)</w:t>
      </w:r>
    </w:p>
    <w:p>
      <w:pPr>
        <w:pStyle w:val="BodyText"/>
      </w:pPr>
      <w:r>
        <w:t xml:space="preserve">Dental Check-ups &amp; Cleanings</w:t>
      </w:r>
    </w:p>
    <w:p>
      <w:pPr>
        <w:pStyle w:val="BodyText"/>
      </w:pPr>
      <w:r>
        <w:t xml:space="preserve">85,000</w:t>
      </w:r>
    </w:p>
    <w:p>
      <w:pPr>
        <w:pStyle w:val="BodyText"/>
      </w:pPr>
      <w:r>
        <w:t xml:space="preserve">92,500</w:t>
      </w:r>
    </w:p>
    <w:p>
      <w:pPr>
        <w:pStyle w:val="BodyText"/>
      </w:pPr>
      <w:r>
        <w:t xml:space="preserve">112,300</w:t>
      </w:r>
    </w:p>
    <w:p>
      <w:pPr>
        <w:pStyle w:val="BodyText"/>
      </w:pPr>
      <w:r>
        <w:t xml:space="preserve">289,800</w:t>
      </w:r>
    </w:p>
    <w:p>
      <w:pPr>
        <w:pStyle w:val="BodyText"/>
      </w:pPr>
      <w:r>
        <w:t xml:space="preserve">Filling Procedures (Composite)</w:t>
      </w:r>
    </w:p>
    <w:p>
      <w:pPr>
        <w:pStyle w:val="BodyText"/>
      </w:pPr>
      <w:r>
        <w:t xml:space="preserve">64,750</w:t>
      </w:r>
    </w:p>
    <w:p>
      <w:pPr>
        <w:pStyle w:val="BodyText"/>
      </w:pPr>
      <w:r>
        <w:t xml:space="preserve">71,25084,650220,650</w:t>
      </w:r>
    </w:p>
    <w:p>
      <w:pPr>
        <w:pStyle w:val="BodyText"/>
      </w:pPr>
      <w:r>
        <w:t xml:space="preserve">Tooth Extractions (Simple)</w:t>
      </w:r>
    </w:p>
    <w:p>
      <w:pPr>
        <w:pStyle w:val="BodyText"/>
      </w:pPr>
      <w:r>
        <w:t xml:space="preserve">38,900</w:t>
      </w:r>
    </w:p>
    <w:p>
      <w:pPr>
        <w:pStyle w:val="BodyText"/>
      </w:pPr>
      <w:r>
        <w:t xml:space="preserve">41,850</w:t>
      </w:r>
    </w:p>
    <w:p>
      <w:pPr>
        <w:pStyle w:val="BodyText"/>
      </w:pPr>
      <w:r>
        <w:t xml:space="preserve">47,325</w:t>
      </w:r>
    </w:p>
    <w:p>
      <w:pPr>
        <w:pStyle w:val="BodyText"/>
      </w:pPr>
      <w:r>
        <w:t xml:space="preserve">128,075</w:t>
      </w:r>
    </w:p>
    <w:p>
      <w:pPr>
        <w:pStyle w:val="BodyText"/>
      </w:pPr>
      <w:r>
        <w:t xml:space="preserve">Pediatric Dentistry (Children 6-12)</w:t>
      </w:r>
    </w:p>
    <w:p>
      <w:pPr>
        <w:pStyle w:val="BodyText"/>
      </w:pPr>
      <w:r>
        <w:t xml:space="preserve">24,60028,45033,97587,025</w:t>
      </w:r>
    </w:p>
    <w:p>
      <w:pPr>
        <w:pStyle w:val="BodyText"/>
      </w:pPr>
      <w:r>
        <w:t xml:space="preserve">Denture Fabrication (Basic)</w:t>
      </w:r>
    </w:p>
    <w:p>
      <w:pPr>
        <w:pStyle w:val="BodyText"/>
      </w:pPr>
      <w:r>
        <w:t xml:space="preserve">19,800</w:t>
      </w:r>
    </w:p>
    <w:p>
      <w:pPr>
        <w:pStyle w:val="BodyText"/>
      </w:pPr>
      <w:r>
        <w:t xml:space="preserve">23,100</w:t>
      </w:r>
    </w:p>
    <w:p>
      <w:pPr>
        <w:pStyle w:val="BodyText"/>
      </w:pPr>
      <w:r>
        <w:t xml:space="preserve">26,450</w:t>
      </w:r>
    </w:p>
    <w:p>
      <w:pPr>
        <w:pStyle w:val="BodyText"/>
      </w:pPr>
      <w:r>
        <w:t xml:space="preserve">69,350</w:t>
      </w:r>
    </w:p>
    <w:p>
      <w:pPr>
        <w:pStyle w:val="BodyText"/>
      </w:pPr>
      <w:r>
        <w:t xml:space="preserve">Total Revenue (ETB)</w:t>
      </w:r>
    </w:p>
    <w:p>
      <w:pPr>
        <w:pStyle w:val="BodyText"/>
      </w:pPr>
      <w:r>
        <w:t xml:space="preserve">233,050</w:t>
      </w:r>
    </w:p>
    <w:p>
      <w:pPr>
        <w:pStyle w:val="BodyText"/>
      </w:pPr>
      <w:r>
        <w:t xml:space="preserve">257,150</w:t>
      </w:r>
    </w:p>
    <w:p>
      <w:pPr>
        <w:pStyle w:val="BodyText"/>
      </w:pPr>
      <w:r>
        <w:t xml:space="preserve">294,700</w:t>
      </w:r>
    </w:p>
    <w:p>
      <w:pPr>
        <w:pStyle w:val="BodyText"/>
      </w:pPr>
      <w:r>
        <w:t xml:space="preserve">814,900</w:t>
      </w:r>
    </w:p>
    <w:p>
      <w:pPr>
        <w:pStyle w:val="BodyText"/>
      </w:pPr>
      <w:r>
        <w:t xml:space="preserve">The Sales Report highlights a clear upward trend across all service lines. Notably, demand for preventive care (check-ups/cleanings) surged by 35% in March due to our "Healthy Mouths for Schoolchildren" initiative with Addis Ababa Education Bureau. The clinic's strategic focus on mid-tier pricing—avoiding premium rates common in international clinics while ensuring quality—has resonated well with the Ethiopian middle-income demographic, accounting for 78% of total revenue.</w:t>
      </w:r>
    </w:p>
    <w:bookmarkEnd w:id="22"/>
    <w:bookmarkStart w:id="23" w:name="X35b73d8d76883a9c229b4dca85470722876779e"/>
    <w:p>
      <w:pPr>
        <w:pStyle w:val="Heading2"/>
      </w:pPr>
      <w:r>
        <w:t xml:space="preserve">Key Performance Indicators (KPIs) - Ethiopia Addis Ababa Focus</w:t>
      </w:r>
    </w:p>
    <w:p>
      <w:pPr>
        <w:numPr>
          <w:ilvl w:val="0"/>
          <w:numId w:val="1001"/>
        </w:numPr>
        <w:pStyle w:val="Compact"/>
      </w:pPr>
      <w:r>
        <w:rPr>
          <w:bCs/>
          <w:b/>
        </w:rPr>
        <w:t xml:space="preserve">Patient Retention Rate:</w:t>
      </w:r>
      <w:r>
        <w:t xml:space="preserve"> </w:t>
      </w:r>
      <w:r>
        <w:t xml:space="preserve">65% (vs. national average of 45%) - Driven by personalized follow-up calls in Amharic and Oromo, reflecting cultural sensitivity crucial for success in Ethiopia.</w:t>
      </w:r>
    </w:p>
    <w:p>
      <w:pPr>
        <w:numPr>
          <w:ilvl w:val="0"/>
          <w:numId w:val="1001"/>
        </w:numPr>
        <w:pStyle w:val="Compact"/>
      </w:pPr>
      <w:r>
        <w:rPr>
          <w:bCs/>
          <w:b/>
        </w:rPr>
        <w:t xml:space="preserve">Avg. Revenue per Patient:</w:t>
      </w:r>
      <w:r>
        <w:t xml:space="preserve"> </w:t>
      </w:r>
      <w:r>
        <w:t xml:space="preserve">ETB 1,230 (up 12% from Q4 2023) - Reflecting increased adoption of comprehensive care packages.</w:t>
      </w:r>
    </w:p>
    <w:p>
      <w:pPr>
        <w:numPr>
          <w:ilvl w:val="0"/>
          <w:numId w:val="1001"/>
        </w:numPr>
        <w:pStyle w:val="Compact"/>
      </w:pPr>
      <w:r>
        <w:rPr>
          <w:bCs/>
          <w:b/>
        </w:rPr>
        <w:t xml:space="preserve">Local Market Share:</w:t>
      </w:r>
      <w:r>
        <w:t xml:space="preserve"> </w:t>
      </w:r>
      <w:r>
        <w:t xml:space="preserve">Estimated 9.7% in Addis Ababa's private dental sector (based on clinic registrations with Addis Ababa City Administration Health Bureau).</w:t>
      </w:r>
    </w:p>
    <w:p>
      <w:pPr>
        <w:numPr>
          <w:ilvl w:val="0"/>
          <w:numId w:val="1001"/>
        </w:numPr>
        <w:pStyle w:val="Compact"/>
      </w:pPr>
      <w:r>
        <w:rPr>
          <w:bCs/>
          <w:b/>
        </w:rPr>
        <w:t xml:space="preserve">Seasonal Impact:</w:t>
      </w:r>
      <w:r>
        <w:t xml:space="preserve"> </w:t>
      </w:r>
      <w:r>
        <w:t xml:space="preserve">Q1 showed 22% higher volume than Q4, correlating with the Ethiopian New Year (Enkutatash) when dental wellness campaigns peak.</w:t>
      </w:r>
    </w:p>
    <w:bookmarkEnd w:id="23"/>
    <w:bookmarkStart w:id="24" w:name="X8deb32be0cccff39dba3d64affbc2592cc60e4f"/>
    <w:p>
      <w:pPr>
        <w:pStyle w:val="Heading2"/>
      </w:pPr>
      <w:r>
        <w:t xml:space="preserve">Strategic Analysis: Opportunities in Addis Ababa's Dental Market</w:t>
      </w:r>
    </w:p>
    <w:p>
      <w:pPr>
        <w:pStyle w:val="FirstParagraph"/>
      </w:pPr>
      <w:r>
        <w:t xml:space="preserve">According to our Sales Report data, the most significant opportunity lies in expanding preventive services. Currently, only 35% of patients opt for annual check-ups—well below the recommended rate. Given Ethiopia’s high prevalence of untreated dental caries (68% among adults per WHO 2023), launching a "Dental Health Awareness Week" during Ramadan could tap into heightened community engagement in Addis Ababa. Additionally, partnerships with local businesses (e.g., coffee shops in Bole) for discounted preventive packages—leveraging Ethiopia’s café culture—show strong potential based on pilot data from February.</w:t>
      </w:r>
    </w:p>
    <w:p>
      <w:pPr>
        <w:pStyle w:val="BodyText"/>
      </w:pPr>
      <w:r>
        <w:t xml:space="preserve">The clinic's investment in locally sourced dental materials has reduced supply chain costs by 18% compared to imported alternatives, a critical factor for sustainable pricing. This aligns with the Ethiopian government's "Buy Ethiopian" initiative, enhancing our social license to operate. However, the Sales Report notes that 42% of patients cite travel time as a barrier—suggesting future expansion into satellite clinics near major *kotebe* (urban centers) like Kolfe Keranio could capture significant untapped demand.</w:t>
      </w:r>
    </w:p>
    <w:bookmarkEnd w:id="24"/>
    <w:bookmarkStart w:id="25" w:name="challenges-mitigation-strategies"/>
    <w:p>
      <w:pPr>
        <w:pStyle w:val="Heading2"/>
      </w:pPr>
      <w:r>
        <w:t xml:space="preserve">Challenges &amp; Mitigation Strategies</w:t>
      </w:r>
    </w:p>
    <w:p>
      <w:pPr>
        <w:pStyle w:val="FirstParagraph"/>
      </w:pPr>
      <w:r>
        <w:t xml:space="preserve">Our Sales Report identifies two persistent challenges specific to Ethiopia's Addis Ababa context:</w:t>
      </w:r>
    </w:p>
    <w:p>
      <w:pPr>
        <w:numPr>
          <w:ilvl w:val="0"/>
          <w:numId w:val="1002"/>
        </w:numPr>
        <w:pStyle w:val="Compact"/>
      </w:pPr>
      <w:r>
        <w:rPr>
          <w:bCs/>
          <w:b/>
        </w:rPr>
        <w:t xml:space="preserve">Currency Volatility:</w:t>
      </w:r>
      <w:r>
        <w:t xml:space="preserve"> </w:t>
      </w:r>
      <w:r>
        <w:t xml:space="preserve">Fluctuations in ETB/USD impact imported equipment costs. *Mitigation:* We've secured a 12-month fixed-price contract with a local dental supplier (Addis Dental Solutions), locking in material costs at current ETB rates.</w:t>
      </w:r>
    </w:p>
    <w:p>
      <w:pPr>
        <w:numPr>
          <w:ilvl w:val="0"/>
          <w:numId w:val="1002"/>
        </w:numPr>
        <w:pStyle w:val="Compact"/>
      </w:pPr>
      <w:r>
        <w:rPr>
          <w:bCs/>
          <w:b/>
        </w:rPr>
        <w:t xml:space="preserve">Patient Financial Constraints:</w:t>
      </w:r>
      <w:r>
        <w:t xml:space="preserve"> </w:t>
      </w:r>
      <w:r>
        <w:t xml:space="preserve">58% of patients require payment plans for procedures above ETB 3,000. *Mitigation:* Launched "Dentist for All" installment scheme with Addis Ababa Microfinance Bank (AMF), enabling 4-month interest-free payments—a move that increased procedure uptake by 27%.</w:t>
      </w:r>
    </w:p>
    <w:bookmarkEnd w:id="25"/>
    <w:bookmarkStart w:id="26" w:name="recommendations-for-future-growth"/>
    <w:p>
      <w:pPr>
        <w:pStyle w:val="Heading2"/>
      </w:pPr>
      <w:r>
        <w:t xml:space="preserve">Recommendations for Future Growth</w:t>
      </w:r>
    </w:p>
    <w:p>
      <w:pPr>
        <w:pStyle w:val="FirstParagraph"/>
      </w:pPr>
      <w:r>
        <w:t xml:space="preserve">To solidify our position as the leading dental practice in Addis Ababa, Ethiopia, this Sales Report recommends:</w:t>
      </w:r>
    </w:p>
    <w:p>
      <w:pPr>
        <w:numPr>
          <w:ilvl w:val="0"/>
          <w:numId w:val="1003"/>
        </w:numPr>
        <w:pStyle w:val="Compact"/>
      </w:pPr>
      <w:r>
        <w:rPr>
          <w:bCs/>
          <w:b/>
        </w:rPr>
        <w:t xml:space="preserve">Launch a Mobile Dental Unit:</w:t>
      </w:r>
      <w:r>
        <w:t xml:space="preserve"> </w:t>
      </w:r>
      <w:r>
        <w:t xml:space="preserve">Targeting underserved *kebeles* (wards) like Gulele and Arada through partnerships with Woreda Health Offices. Initial investment: ETB 850,000; projected 3-year ROI: 142% based on Addis Ababa's urban expansion data.</w:t>
      </w:r>
    </w:p>
    <w:p>
      <w:pPr>
        <w:numPr>
          <w:ilvl w:val="0"/>
          <w:numId w:val="1003"/>
        </w:numPr>
        <w:pStyle w:val="Compact"/>
      </w:pPr>
      <w:r>
        <w:rPr>
          <w:bCs/>
          <w:b/>
        </w:rPr>
        <w:t xml:space="preserve">Expand Insurance Partnerships:</w:t>
      </w:r>
      <w:r>
        <w:t xml:space="preserve"> </w:t>
      </w:r>
      <w:r>
        <w:t xml:space="preserve">Negotiate coverage for root canals with EIC and private insurers like Awash Insurance. This could increase revenue from insured patients by 35% (current penetration: 28%).</w:t>
      </w:r>
    </w:p>
    <w:p>
      <w:pPr>
        <w:numPr>
          <w:ilvl w:val="0"/>
          <w:numId w:val="1003"/>
        </w:numPr>
        <w:pStyle w:val="Compact"/>
      </w:pPr>
      <w:r>
        <w:rPr>
          <w:bCs/>
          <w:b/>
        </w:rPr>
        <w:t xml:space="preserve">Digital Health Integration:</w:t>
      </w:r>
      <w:r>
        <w:t xml:space="preserve"> </w:t>
      </w:r>
      <w:r>
        <w:t xml:space="preserve">Implement a simplified SMS-based appointment system (using local telecoms like Ethio Telecom) to reduce no-show rates, which currently average 21%—above the international benchmark of 15%.</w:t>
      </w:r>
    </w:p>
    <w:bookmarkEnd w:id="26"/>
    <w:bookmarkStart w:id="27" w:name="conclusion"/>
    <w:p>
      <w:pPr>
        <w:pStyle w:val="Heading2"/>
      </w:pPr>
      <w:r>
        <w:t xml:space="preserve">Conclusion</w:t>
      </w:r>
    </w:p>
    <w:p>
      <w:pPr>
        <w:pStyle w:val="FirstParagraph"/>
      </w:pPr>
      <w:r>
        <w:t xml:space="preserve">The Sales Report for [Dentist Name] Dental Clinic unequivocally demonstrates strong performance in Ethiopia's Addis Ababa dental market. With revenue growing at 18.6% annually and strategic initiatives aligning with Ethiopian healthcare priorities, the clinic is positioned to become a benchmark for quality, affordability, and community-centric care. The commitment to addressing local challenges—through culturally attuned services, ethical pricing models, and partnerships with Addis Ababa's administrative bodies—ensures long-term viability. As Ethiopia continues its healthcare sector modernization under the "Health Sector Development Program Phase V," dental practices like ours will play an indispensable role in improving national oral health outcomes. This Sales Report serves as both a testament to current success and a roadmap for expanding access to premium dental care across Addis Ababa, Ethiopia.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Dental Practice Performance Analysis - Addis Ababa, Ethiopia</dc:title>
  <dc:creator/>
  <cp:keywords/>
  <dcterms:created xsi:type="dcterms:W3CDTF">2026-07-23T06:59:35Z</dcterms:created>
  <dcterms:modified xsi:type="dcterms:W3CDTF">2026-07-23T06:59:35Z</dcterms:modified>
</cp:coreProperties>
</file>

<file path=docProps/custom.xml><?xml version="1.0" encoding="utf-8"?>
<Properties xmlns="http://schemas.openxmlformats.org/officeDocument/2006/custom-properties" xmlns:vt="http://schemas.openxmlformats.org/officeDocument/2006/docPropsVTypes"/>
</file>