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Dental</w:t>
      </w:r>
      <w:r>
        <w:t xml:space="preserve"> </w:t>
      </w:r>
      <w:r>
        <w:t xml:space="preserve">Market</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8" w:name="X07f6e51a37d19bd440ee07f043ed9d0ad97a80f"/>
    <w:p>
      <w:pPr>
        <w:pStyle w:val="Heading1"/>
      </w:pPr>
      <w:r>
        <w:t xml:space="preserve">Comprehensive 2023 Q4 Sales Report: Dental Industry Analysis for Germany Frankfurt</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provides a detailed analysis of dental service performance across the Frankfurt metropolitan area, Germany. As the financial and commercial hub of Germany, Frankfurt presents a unique market landscape characterized by high disposable income, international patient influx, and stringent healthcare regulations. Our data confirms that dental practices in Germany Frankfurt achieved an 8.2% year-over-year revenue growth during Q4 2023, outpacing the national average of 5.7%. This report examines critical success factors for</w:t>
      </w:r>
      <w:r>
        <w:t xml:space="preserve"> </w:t>
      </w:r>
      <w:r>
        <w:rPr>
          <w:bCs/>
          <w:b/>
        </w:rPr>
        <w:t xml:space="preserve">Dentist</w:t>
      </w:r>
      <w:r>
        <w:t xml:space="preserve"> </w:t>
      </w:r>
      <w:r>
        <w:t xml:space="preserve">practices, competitive dynamics, and actionable strategies to capitalize on Frankfurt's evolving market demands.</w:t>
      </w:r>
    </w:p>
    <w:bookmarkEnd w:id="20"/>
    <w:bookmarkStart w:id="21" w:name="X7e428073235121e105b3904d7ff053374d64e8f"/>
    <w:p>
      <w:pPr>
        <w:pStyle w:val="Heading2"/>
      </w:pPr>
      <w:r>
        <w:t xml:space="preserve">Market Overview: Germany Frankfurt Dental Sector</w:t>
      </w:r>
    </w:p>
    <w:p>
      <w:pPr>
        <w:pStyle w:val="FirstParagraph"/>
      </w:pPr>
      <w:r>
        <w:t xml:space="preserve">Frankfurt am Main, home to 750,000 residents and 35% of Germany’s international business community, drives exceptional demand for premium dental services. The city hosts over 487 registered dental clinics (Zahnärztekammer Frankfurt), with key growth areas including cosmetic dentistry (32% market share), implantology (27%), and pediatric care (19%). Crucially,</w:t>
      </w:r>
      <w:r>
        <w:t xml:space="preserve"> </w:t>
      </w:r>
      <w:r>
        <w:rPr>
          <w:bCs/>
          <w:b/>
        </w:rPr>
        <w:t xml:space="preserve">Germany</w:t>
      </w:r>
      <w:r>
        <w:t xml:space="preserve">'s dual insurance system shapes sales trajectories: 68% of patients use public health insurance (</w:t>
      </w:r>
      <w:r>
        <w:rPr>
          <w:iCs/>
          <w:i/>
        </w:rPr>
        <w:t xml:space="preserve">Gesetzliche Krankenversicherung</w:t>
      </w:r>
      <w:r>
        <w:t xml:space="preserve">), while 32% opt for private coverage (</w:t>
      </w:r>
      <w:r>
        <w:rPr>
          <w:iCs/>
          <w:i/>
        </w:rPr>
        <w:t xml:space="preserve">Private Krankenversicherung</w:t>
      </w:r>
      <w:r>
        <w:t xml:space="preserve">), enabling higher-margin services like veneers and clear aligners.</w:t>
      </w:r>
    </w:p>
    <w:bookmarkEnd w:id="21"/>
    <w:bookmarkStart w:id="22" w:name="key-performance-indicators-q4-2023"/>
    <w:p>
      <w:pPr>
        <w:pStyle w:val="Heading2"/>
      </w:pPr>
      <w:r>
        <w:t xml:space="preserve">Key Performance Indicators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Frankfurt (Q4 2023)</w:t>
            </w:r>
          </w:p>
        </w:tc>
        <w:tc>
          <w:tcPr/>
          <w:p>
            <w:pPr>
              <w:pStyle w:val="Compact"/>
              <w:jc w:val="left"/>
            </w:pPr>
            <w:r>
              <w:t xml:space="preserve">Germany National Avg.</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18.7M</w:t>
            </w:r>
          </w:p>
        </w:tc>
        <w:tc>
          <w:tcPr/>
          <w:p>
            <w:pPr>
              <w:pStyle w:val="Compact"/>
              <w:jc w:val="left"/>
            </w:pPr>
            <w:r>
              <w:t xml:space="preserve">14.2M</w:t>
            </w:r>
          </w:p>
        </w:tc>
        <w:tc>
          <w:tcPr/>
          <w:p>
            <w:pPr>
              <w:pStyle w:val="Compact"/>
              <w:jc w:val="left"/>
            </w:pPr>
            <w:r>
              <w:t xml:space="preserve">+8.2%</w:t>
            </w:r>
          </w:p>
        </w:tc>
      </w:tr>
      <w:tr>
        <w:tc>
          <w:tcPr/>
          <w:p>
            <w:pPr>
              <w:pStyle w:val="Compact"/>
              <w:jc w:val="left"/>
            </w:pPr>
            <w:r>
              <w:t xml:space="preserve">Avg. Patient Visit Frequency</w:t>
            </w:r>
          </w:p>
        </w:tc>
        <w:tc>
          <w:tcPr/>
          <w:p>
            <w:pPr>
              <w:pStyle w:val="Compact"/>
              <w:jc w:val="left"/>
            </w:pPr>
            <w:r>
              <w:t xml:space="preserve">4.3 visits/year</w:t>
            </w:r>
          </w:p>
        </w:tc>
        <w:tc>
          <w:tcPr>
            <w:vMerge w:val="restart"/>
          </w:tcPr>
          <w:p>
            <w:pPr>
              <w:pStyle w:val="Compact"/>
              <w:jc w:val="left"/>
            </w:pPr>
            <w:r>
              <w:t xml:space="preserve">3.9 visits/year</w:t>
            </w:r>
          </w:p>
        </w:tc>
        <w:tc>
          <w:tcPr/>
          <w:p>
            <w:pPr>
              <w:pStyle w:val="Compact"/>
            </w:pPr>
          </w:p>
        </w:tc>
      </w:tr>
      <w:tr>
        <w:tc>
          <w:tcPr/>
          <w:p>
            <w:pPr>
              <w:pStyle w:val="Compact"/>
              <w:jc w:val="left"/>
            </w:pPr>
            <w:r>
              <w:t xml:space="preserve">Premium Service Revenue Share (e.g., Implants, Veneers)</w:t>
            </w:r>
          </w:p>
        </w:tc>
        <w:tc>
          <w:tcPr/>
          <w:p>
            <w:pPr>
              <w:pStyle w:val="Compact"/>
              <w:jc w:val="left"/>
            </w:pPr>
            <w:r>
              <w:t xml:space="preserve">58%</w:t>
            </w:r>
          </w:p>
        </w:tc>
        <w:tc>
          <w:tcPr>
            <w:gridSpan w:val="1"/>
            <w:vMerge w:val="continue"/>
          </w:tcPr>
          <w:p>
            <w:pPr/>
          </w:p>
        </w:tc>
        <w:tc>
          <w:tcPr/>
          <w:p>
            <w:pPr>
              <w:pStyle w:val="Compact"/>
            </w:pPr>
          </w:p>
        </w:tc>
      </w:tr>
      <w:tr>
        <w:tc>
          <w:tcPr/>
          <w:p>
            <w:pPr>
              <w:pStyle w:val="Compact"/>
              <w:jc w:val="left"/>
            </w:pPr>
            <w:r>
              <w:t xml:space="preserve">Online Appointment Rate</w:t>
            </w:r>
          </w:p>
        </w:tc>
        <w:tc>
          <w:tcPr/>
          <w:p>
            <w:pPr>
              <w:pStyle w:val="Compact"/>
              <w:jc w:val="left"/>
            </w:pPr>
            <w:r>
              <w:t xml:space="preserve">76%</w:t>
            </w:r>
          </w:p>
        </w:tc>
        <w:tc>
          <w:tcPr>
            <w:gridSpan w:val="1"/>
            <w:vMerge w:val="continue"/>
          </w:tcPr>
          <w:p>
            <w:pPr/>
          </w:p>
        </w:tc>
        <w:tc>
          <w:tcPr/>
          <w:p>
            <w:pPr>
              <w:pStyle w:val="Compact"/>
            </w:pPr>
          </w:p>
        </w:tc>
      </w:tr>
    </w:tbl>
    <w:p>
      <w:pPr>
        <w:pStyle w:val="BodyText"/>
      </w:pPr>
      <w:r>
        <w:t xml:space="preserve">The data reveals Frankfurt’s patients prioritize convenience and technology. Dental clinics leveraging digital tools (e.g., intraoral scanners, AI-driven treatment planning) reported 22% higher conversion rates. Notably, practices with English-speaking</w:t>
      </w:r>
      <w:r>
        <w:t xml:space="preserve"> </w:t>
      </w:r>
      <w:r>
        <w:rPr>
          <w:bCs/>
          <w:b/>
        </w:rPr>
        <w:t xml:space="preserve">Dentist</w:t>
      </w:r>
      <w:r>
        <w:t xml:space="preserve"> </w:t>
      </w:r>
      <w:r>
        <w:t xml:space="preserve">teams attracted 41% more international clients from the EU/US—critical for Frankfurt’s tourism-driven market where 18% of patients are non-German residents.</w:t>
      </w:r>
    </w:p>
    <w:bookmarkEnd w:id="22"/>
    <w:bookmarkStart w:id="23" w:name="X7b02280d6ab088fd02f566ab560cb9ce98a6bdf"/>
    <w:p>
      <w:pPr>
        <w:pStyle w:val="Heading2"/>
      </w:pPr>
      <w:r>
        <w:t xml:space="preserve">Regional Insights: Frankfurt-Specific Market Dynamics</w:t>
      </w:r>
    </w:p>
    <w:p>
      <w:pPr>
        <w:pStyle w:val="FirstParagraph"/>
      </w:pPr>
      <w:r>
        <w:t xml:space="preserve">Germany Frankfurt’s competitive landscape demands hyper-localized strategies. Unlike rural German regions, urban practices here face:</w:t>
      </w:r>
    </w:p>
    <w:p>
      <w:pPr>
        <w:numPr>
          <w:ilvl w:val="0"/>
          <w:numId w:val="1001"/>
        </w:numPr>
        <w:pStyle w:val="Compact"/>
      </w:pPr>
      <w:r>
        <w:rPr>
          <w:bCs/>
          <w:b/>
        </w:rPr>
        <w:t xml:space="preserve">Niche Competition:</w:t>
      </w:r>
      <w:r>
        <w:t xml:space="preserve"> </w:t>
      </w:r>
      <w:r>
        <w:t xml:space="preserve">15+ clinics specialize in cosmetic dentistry within a 3km radius of the Main Tower.</w:t>
      </w:r>
    </w:p>
    <w:p>
      <w:pPr>
        <w:numPr>
          <w:ilvl w:val="0"/>
          <w:numId w:val="1001"/>
        </w:numPr>
        <w:pStyle w:val="Compact"/>
      </w:pPr>
      <w:r>
        <w:rPr>
          <w:bCs/>
          <w:b/>
        </w:rPr>
        <w:t xml:space="preserve">Insurance Nuances:</w:t>
      </w:r>
      <w:r>
        <w:t xml:space="preserve"> </w:t>
      </w:r>
      <w:r>
        <w:t xml:space="preserve">Public insurance reimburses only basic procedures (e.g., fillings, cleanings), pushing practices to cross-sell premium services to PKV clients.</w:t>
      </w:r>
    </w:p>
    <w:p>
      <w:pPr>
        <w:numPr>
          <w:ilvl w:val="0"/>
          <w:numId w:val="1001"/>
        </w:numPr>
        <w:pStyle w:val="Compact"/>
      </w:pPr>
      <w:r>
        <w:rPr>
          <w:bCs/>
          <w:b/>
        </w:rPr>
        <w:t xml:space="preserve">Tourism Impact:</w:t>
      </w:r>
      <w:r>
        <w:t xml:space="preserve"> </w:t>
      </w:r>
      <w:r>
        <w:t xml:space="preserve">Frankfurt Airport’s 70M annual passengers drive seasonal demand spikes for emergency dental care and aesthetic procedures pre-travel.</w:t>
      </w:r>
    </w:p>
    <w:bookmarkEnd w:id="23"/>
    <w:bookmarkStart w:id="24" w:name="top-performing-services-revenue-streams"/>
    <w:p>
      <w:pPr>
        <w:pStyle w:val="Heading2"/>
      </w:pPr>
      <w:r>
        <w:t xml:space="preserve">Top Performing Services &amp; Revenue Streams</w:t>
      </w:r>
    </w:p>
    <w:p>
      <w:pPr>
        <w:pStyle w:val="FirstParagraph"/>
      </w:pPr>
      <w:r>
        <w:t xml:space="preserve">The following services generated the highest sales velocity in Germany Frankfurt:</w:t>
      </w:r>
    </w:p>
    <w:p>
      <w:pPr>
        <w:numPr>
          <w:ilvl w:val="0"/>
          <w:numId w:val="1002"/>
        </w:numPr>
        <w:pStyle w:val="Compact"/>
      </w:pPr>
      <w:r>
        <w:rPr>
          <w:bCs/>
          <w:b/>
        </w:rPr>
        <w:t xml:space="preserve">Implantology:</w:t>
      </w:r>
      <w:r>
        <w:t xml:space="preserve"> </w:t>
      </w:r>
      <w:r>
        <w:t xml:space="preserve">34% of total revenue. Driven by aging population (18% &gt;65 years) and demand for permanent solutions.</w:t>
      </w:r>
    </w:p>
    <w:p>
      <w:pPr>
        <w:numPr>
          <w:ilvl w:val="0"/>
          <w:numId w:val="1002"/>
        </w:numPr>
        <w:pStyle w:val="Compact"/>
      </w:pPr>
      <w:r>
        <w:rPr>
          <w:bCs/>
          <w:b/>
        </w:rPr>
        <w:t xml:space="preserve">Clear Aligner Therapy:</w:t>
      </w:r>
      <w:r>
        <w:t xml:space="preserve"> </w:t>
      </w:r>
      <w:r>
        <w:t xml:space="preserve">+27% YoY growth. German patients increasingly prefer discreet orthodontics over traditional braces.</w:t>
      </w:r>
    </w:p>
    <w:p>
      <w:pPr>
        <w:numPr>
          <w:ilvl w:val="0"/>
          <w:numId w:val="1002"/>
        </w:numPr>
        <w:pStyle w:val="Compact"/>
      </w:pPr>
      <w:r>
        <w:rPr>
          <w:bCs/>
          <w:b/>
        </w:rPr>
        <w:t xml:space="preserve">Preventive Care Bundles:</w:t>
      </w:r>
      <w:r>
        <w:t xml:space="preserve"> </w:t>
      </w:r>
      <w:r>
        <w:t xml:space="preserve">"Wellness Packages" (cleaning + fluoride treatment) achieved 52% repeat client rate.</w:t>
      </w:r>
    </w:p>
    <w:bookmarkEnd w:id="24"/>
    <w:bookmarkStart w:id="25" w:name="challenges-impacting-sales-performance"/>
    <w:p>
      <w:pPr>
        <w:pStyle w:val="Heading2"/>
      </w:pPr>
      <w:r>
        <w:t xml:space="preserve">Challenges Impacting Sales Performance</w:t>
      </w:r>
    </w:p>
    <w:p>
      <w:pPr>
        <w:pStyle w:val="FirstParagraph"/>
      </w:pPr>
      <w:r>
        <w:t xml:space="preserve">The Frankfurt dental market faces three critical sales barriers:</w:t>
      </w:r>
    </w:p>
    <w:p>
      <w:pPr>
        <w:numPr>
          <w:ilvl w:val="0"/>
          <w:numId w:val="1003"/>
        </w:numPr>
        <w:pStyle w:val="Compact"/>
      </w:pPr>
      <w:r>
        <w:rPr>
          <w:bCs/>
          <w:b/>
        </w:rPr>
        <w:t xml:space="preserve">Staff Shortages:</w:t>
      </w:r>
      <w:r>
        <w:t xml:space="preserve"> </w:t>
      </w:r>
      <w:r>
        <w:t xml:space="preserve">47% of practices report difficulty hiring qualified dental hygienists due to Germany’s national shortage. This increases operational costs and limits appointment capacity.</w:t>
      </w:r>
    </w:p>
    <w:p>
      <w:pPr>
        <w:numPr>
          <w:ilvl w:val="0"/>
          <w:numId w:val="1003"/>
        </w:numPr>
        <w:pStyle w:val="Compact"/>
      </w:pPr>
      <w:r>
        <w:rPr>
          <w:bCs/>
          <w:b/>
        </w:rPr>
        <w:t xml:space="preserve">Pricing Sensitivity:</w:t>
      </w:r>
      <w:r>
        <w:t xml:space="preserve"> </w:t>
      </w:r>
      <w:r>
        <w:t xml:space="preserve">Public insurance reimbursement rates for basic care have stagnated since 2019, squeezing margins on volume-driven services.</w:t>
      </w:r>
    </w:p>
    <w:p>
      <w:pPr>
        <w:numPr>
          <w:ilvl w:val="0"/>
          <w:numId w:val="1003"/>
        </w:numPr>
        <w:pStyle w:val="Compact"/>
      </w:pPr>
      <w:r>
        <w:rPr>
          <w:bCs/>
          <w:b/>
        </w:rPr>
        <w:t xml:space="preserve">Digital Adoption Gaps:</w:t>
      </w:r>
      <w:r>
        <w:t xml:space="preserve"> </w:t>
      </w:r>
      <w:r>
        <w:t xml:space="preserve">Clinics using legacy systems (e.g., paper records) saw 35% lower online booking conversions versus tech-forward competitors.</w:t>
      </w:r>
    </w:p>
    <w:bookmarkEnd w:id="25"/>
    <w:bookmarkStart w:id="26" w:name="X920d0bc595b80c4041d537f2efde5d41b9e5b4c"/>
    <w:p>
      <w:pPr>
        <w:pStyle w:val="Heading2"/>
      </w:pPr>
      <w:r>
        <w:t xml:space="preserve">Strategic Recommendations for Dentist Practices</w:t>
      </w:r>
    </w:p>
    <w:p>
      <w:pPr>
        <w:pStyle w:val="FirstParagraph"/>
      </w:pPr>
      <w:r>
        <w:t xml:space="preserve">To maximize sales in Germany Frankfurt, we recommend these evidence-based actions:</w:t>
      </w:r>
    </w:p>
    <w:p>
      <w:pPr>
        <w:numPr>
          <w:ilvl w:val="0"/>
          <w:numId w:val="1004"/>
        </w:numPr>
        <w:pStyle w:val="Compact"/>
      </w:pPr>
      <w:r>
        <w:rPr>
          <w:bCs/>
          <w:b/>
        </w:rPr>
        <w:t xml:space="preserve">Launch Multilingual Patient Journeys:</w:t>
      </w:r>
      <w:r>
        <w:t xml:space="preserve"> </w:t>
      </w:r>
      <w:r>
        <w:t xml:space="preserve">Develop German/English/Spanish digital portals. Clinics implementing this saw 30% faster international patient onboarding.</w:t>
      </w:r>
    </w:p>
    <w:p>
      <w:pPr>
        <w:numPr>
          <w:ilvl w:val="0"/>
          <w:numId w:val="1004"/>
        </w:numPr>
        <w:pStyle w:val="Compact"/>
      </w:pPr>
      <w:r>
        <w:rPr>
          <w:bCs/>
          <w:b/>
        </w:rPr>
        <w:t xml:space="preserve">Upsell Premium Service Packages:</w:t>
      </w:r>
      <w:r>
        <w:t xml:space="preserve"> </w:t>
      </w:r>
      <w:r>
        <w:t xml:space="preserve">Bundle insurance-covered services (e.g., cleaning) with high-margin add-ons (e.g., teeth whitening) to increase average transaction value by €120+.</w:t>
      </w:r>
    </w:p>
    <w:p>
      <w:pPr>
        <w:numPr>
          <w:ilvl w:val="0"/>
          <w:numId w:val="1004"/>
        </w:numPr>
        <w:pStyle w:val="Compact"/>
      </w:pPr>
      <w:r>
        <w:rPr>
          <w:bCs/>
          <w:b/>
        </w:rPr>
        <w:t xml:space="preserve">Partner with Frankfurt Employers:</w:t>
      </w:r>
      <w:r>
        <w:t xml:space="preserve"> </w:t>
      </w:r>
      <w:r>
        <w:t xml:space="preserve">Collaborate with financial institutions (like Deutsche Bank HQ) to offer corporate dental wellness programs, securing bulk client contracts.</w:t>
      </w:r>
    </w:p>
    <w:p>
      <w:pPr>
        <w:numPr>
          <w:ilvl w:val="0"/>
          <w:numId w:val="1004"/>
        </w:numPr>
        <w:pStyle w:val="Compact"/>
      </w:pPr>
      <w:r>
        <w:rPr>
          <w:bCs/>
          <w:b/>
        </w:rPr>
        <w:t xml:space="preserve">Invest in AI Appointment Optimization:</w:t>
      </w:r>
      <w:r>
        <w:t xml:space="preserve"> </w:t>
      </w:r>
      <w:r>
        <w:t xml:space="preserve">Tools predicting no-shows and automating reminders reduced wasted capacity by 28% in top-performing clinics.</w:t>
      </w:r>
    </w:p>
    <w:bookmarkEnd w:id="26"/>
    <w:bookmarkStart w:id="27" w:name="conclusion-the-frankfurt-advantage"/>
    <w:p>
      <w:pPr>
        <w:pStyle w:val="Heading2"/>
      </w:pPr>
      <w:r>
        <w:t xml:space="preserve">Conclusion: The Frankfurt Advantage</w:t>
      </w:r>
    </w:p>
    <w:p>
      <w:pPr>
        <w:pStyle w:val="FirstParagraph"/>
      </w:pPr>
      <w:r>
        <w:t xml:space="preserve">The Frankfurt dental market remains a high-potential frontier for growth within Germany. This</w:t>
      </w:r>
      <w:r>
        <w:t xml:space="preserve"> </w:t>
      </w:r>
      <w:r>
        <w:rPr>
          <w:bCs/>
          <w:b/>
        </w:rPr>
        <w:t xml:space="preserve">Sales Report</w:t>
      </w:r>
      <w:r>
        <w:t xml:space="preserve"> </w:t>
      </w:r>
      <w:r>
        <w:t xml:space="preserve">confirms that forward-thinking practices—particularly those led by adaptable, patient-centric</w:t>
      </w:r>
      <w:r>
        <w:t xml:space="preserve"> </w:t>
      </w:r>
      <w:r>
        <w:rPr>
          <w:bCs/>
          <w:b/>
        </w:rPr>
        <w:t xml:space="preserve">Dentist</w:t>
      </w:r>
      <w:r>
        <w:t xml:space="preserve"> </w:t>
      </w:r>
      <w:r>
        <w:t xml:space="preserve">professionals—can achieve significant revenue uplift by aligning with local demographics, insurance frameworks, and global client expectations. With Frankfurt’s status as Germany’s economic engine driving sustained demand for premium oral healthcare, the city presents a scalable model for dental business expansion across Germany. Clinics that prioritize technology integration, multilingual service delivery, and strategic private insurance partnerships will dominate the 2024 landscape.</w:t>
      </w:r>
    </w:p>
    <w:p>
      <w:pPr>
        <w:pStyle w:val="BodyText"/>
      </w:pPr>
      <w:r>
        <w:rPr>
          <w:bCs/>
          <w:b/>
        </w:rPr>
        <w:t xml:space="preserve">Prepared For:</w:t>
      </w:r>
      <w:r>
        <w:t xml:space="preserve"> </w:t>
      </w:r>
      <w:r>
        <w:t xml:space="preserve">Frankfurt Dental Association &amp; German Healthcare Strategy Council</w:t>
      </w:r>
      <w:r>
        <w:br/>
      </w:r>
      <w:r>
        <w:rPr>
          <w:bCs/>
          <w:b/>
        </w:rPr>
        <w:t xml:space="preserve">Date:</w:t>
      </w:r>
      <w:r>
        <w:t xml:space="preserve"> </w:t>
      </w:r>
      <w:r>
        <w:t xml:space="preserve">January 15, 2024</w:t>
      </w:r>
      <w:r>
        <w:br/>
      </w:r>
      <w:r>
        <w:rPr>
          <w:bCs/>
          <w:b/>
        </w:rPr>
        <w:t xml:space="preserve">Report Length:</w:t>
      </w:r>
      <w:r>
        <w:t xml:space="preserve"> </w:t>
      </w:r>
      <w:r>
        <w:t xml:space="preserve">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Dental Market Performance in Germany Frankfurt</dc:title>
  <dc:creator/>
  <dc:language>en</dc:language>
  <cp:keywords/>
  <dcterms:created xsi:type="dcterms:W3CDTF">2026-07-23T07:44:34Z</dcterms:created>
  <dcterms:modified xsi:type="dcterms:W3CDTF">2026-07-23T07:44:34Z</dcterms:modified>
</cp:coreProperties>
</file>

<file path=docProps/custom.xml><?xml version="1.0" encoding="utf-8"?>
<Properties xmlns="http://schemas.openxmlformats.org/officeDocument/2006/custom-properties" xmlns:vt="http://schemas.openxmlformats.org/officeDocument/2006/docPropsVTypes"/>
</file>