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Jakarta</w:t>
      </w:r>
      <w:r>
        <w:t xml:space="preserve"> </w:t>
      </w:r>
      <w:r>
        <w:t xml:space="preserve">Dental</w:t>
      </w:r>
      <w:r>
        <w:t xml:space="preserve"> </w:t>
      </w:r>
      <w:r>
        <w:t xml:space="preserve">Excellence</w:t>
      </w:r>
    </w:p>
    <w:bookmarkStart w:id="27" w:name="Xd4d7a66a0b4983bc96ff5683325cbb5f58f581d"/>
    <w:p>
      <w:pPr>
        <w:pStyle w:val="Heading1"/>
      </w:pPr>
      <w:r>
        <w:t xml:space="preserve">QUARTERLY SALES REPORT: DENTAL PRACTICE PERFORMANCE IN INDONESIA JAKARTA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Jakarta Dental Excellence Management Team</w:t>
      </w:r>
      <w:r>
        <w:br/>
      </w:r>
      <w:r>
        <w:rPr>
          <w:bCs/>
          <w:b/>
        </w:rPr>
        <w:t xml:space="preserve">Purpose:</w:t>
      </w:r>
      <w:r>
        <w:t xml:space="preserve"> </w:t>
      </w:r>
      <w:r>
        <w:t xml:space="preserve">Strategic Analysis of Clinic Performance in Indonesia's Capital City</w:t>
      </w:r>
    </w:p>
    <w:bookmarkStart w:id="20" w:name="i.-executive-summary"/>
    <w:p>
      <w:pPr>
        <w:pStyle w:val="Heading2"/>
      </w:pPr>
      <w:r>
        <w:t xml:space="preserve">I. Executive Summary</w:t>
      </w:r>
    </w:p>
    <w:p>
      <w:pPr>
        <w:pStyle w:val="FirstParagraph"/>
      </w:pPr>
      <w:r>
        <w:t xml:space="preserve">This Sales Report details the operational and financial performance of Jakarta Dental Excellence (JDE), a premier dental practice operating in Central Jakarta since 2018. Serving over 3,500 active patients across three locations (Sudirman, Thamrin, and Kuningan), this report confirms JDE's leadership position in Indonesia Jakarta's competitive dental market. The third quarter demonstrated robust growth of 18% compared to Q2 2023, with total revenue reaching IDR 14.7 billion (approx. $950,000 USD). This performance significantly outpaces the Jakarta dental industry average of 6% growth for the same period, as documented by the Indonesian Dental Association (IDA) in their recent market analysis.</w:t>
      </w:r>
    </w:p>
    <w:bookmarkEnd w:id="20"/>
    <w:bookmarkStart w:id="21" w:name="ii.-key-sales-metrics-breakdown"/>
    <w:p>
      <w:pPr>
        <w:pStyle w:val="Heading2"/>
      </w:pPr>
      <w:r>
        <w:t xml:space="preserve">II. Key Sales Metrics Breakdown</w:t>
      </w:r>
    </w:p>
    <w:p>
      <w:pPr>
        <w:pStyle w:val="FirstParagraph"/>
      </w:pPr>
      <w:r>
        <w:t xml:space="preserve">Service Category</w:t>
      </w:r>
    </w:p>
    <w:p>
      <w:pPr>
        <w:pStyle w:val="BodyText"/>
      </w:pPr>
      <w:r>
        <w:t xml:space="preserve">Q3 2023 Revenue (IDR)</w:t>
      </w:r>
    </w:p>
    <w:p>
      <w:pPr>
        <w:pStyle w:val="BodyText"/>
      </w:pPr>
      <w:r>
        <w:t xml:space="preserve">% of Total Revenue</w:t>
      </w:r>
    </w:p>
    <w:p>
      <w:pPr>
        <w:pStyle w:val="BodyText"/>
      </w:pPr>
      <w:r>
        <w:t xml:space="preserve">Movement vs Q2 2023</w:t>
      </w:r>
    </w:p>
    <w:p>
      <w:pPr>
        <w:pStyle w:val="BodyText"/>
      </w:pPr>
      <w:r>
        <w:t xml:space="preserve">General Dental Check-ups &amp; Cleanings</w:t>
      </w:r>
    </w:p>
    <w:p>
      <w:pPr>
        <w:pStyle w:val="BodyText"/>
      </w:pPr>
      <w:r>
        <w:t xml:space="preserve">5,880,000,000</w:t>
      </w:r>
    </w:p>
    <w:p>
      <w:pPr>
        <w:pStyle w:val="BodyText"/>
      </w:pPr>
      <w:r>
        <w:t xml:space="preserve">40%</w:t>
      </w:r>
    </w:p>
    <w:p>
      <w:pPr>
        <w:pStyle w:val="BodyText"/>
      </w:pPr>
      <w:r>
        <w:t xml:space="preserve">+15%</w:t>
      </w:r>
    </w:p>
    <w:p>
      <w:pPr>
        <w:pStyle w:val="BodyText"/>
      </w:pPr>
      <w:r>
        <w:t xml:space="preserve">Dental Implants</w:t>
      </w:r>
    </w:p>
    <w:p>
      <w:pPr>
        <w:pStyle w:val="BodyText"/>
      </w:pPr>
      <w:r>
        <w:t xml:space="preserve">4,263,973,288</w:t>
      </w:r>
    </w:p>
    <w:p>
      <w:pPr>
        <w:pStyle w:val="BodyText"/>
      </w:pPr>
      <w:r>
        <w:t xml:space="preserve">29%</w:t>
      </w:r>
    </w:p>
    <w:p>
      <w:pPr>
        <w:pStyle w:val="BodyText"/>
      </w:pPr>
      <w:r>
        <w:t xml:space="preserve">+27%</w:t>
      </w:r>
    </w:p>
    <w:p>
      <w:pPr>
        <w:pStyle w:val="BodyText"/>
      </w:pPr>
      <w:r>
        <w:t xml:space="preserve">Orthodontics (Invisalign &amp; Braces)</w:t>
      </w:r>
    </w:p>
    <w:p>
      <w:pPr>
        <w:pStyle w:val="BodyText"/>
      </w:pPr>
      <w:r>
        <w:t xml:space="preserve">2,815,600,000</w:t>
      </w:r>
    </w:p>
    <w:p>
      <w:pPr>
        <w:pStyle w:val="BodyText"/>
      </w:pPr>
      <w:r>
        <w:t xml:space="preserve">19%</w:t>
      </w:r>
    </w:p>
    <w:p>
      <w:pPr>
        <w:pStyle w:val="BodyText"/>
      </w:pPr>
      <w:r>
        <w:t xml:space="preserve">+34%</w:t>
      </w:r>
    </w:p>
    <w:p>
      <w:pPr>
        <w:pStyle w:val="BodyText"/>
      </w:pPr>
      <w:r>
        <w:t xml:space="preserve">Pediatric Dentistry</w:t>
      </w:r>
    </w:p>
    <w:p>
      <w:pPr>
        <w:pStyle w:val="BodyText"/>
      </w:pPr>
      <w:r>
        <w:t xml:space="preserve">1,723,487,565</w:t>
      </w:r>
    </w:p>
    <w:p>
      <w:pPr>
        <w:pStyle w:val="BodyText"/>
      </w:pPr>
      <w:r>
        <w:t xml:space="preserve">12%</w:t>
      </w:r>
    </w:p>
    <w:p>
      <w:pPr>
        <w:pStyle w:val="BodyText"/>
      </w:pPr>
      <w:r>
        <w:t xml:space="preserve">+8%</w:t>
      </w:r>
    </w:p>
    <w:p>
      <w:pPr>
        <w:pStyle w:val="BodyText"/>
      </w:pPr>
      <w:r>
        <w:t xml:space="preserve">Total Revenue</w:t>
      </w:r>
    </w:p>
    <w:p>
      <w:pPr>
        <w:pStyle w:val="BodyText"/>
      </w:pPr>
      <w:r>
        <w:t xml:space="preserve">14,683,060,853</w:t>
      </w:r>
    </w:p>
    <w:p>
      <w:pPr>
        <w:pStyle w:val="BodyText"/>
      </w:pPr>
      <w:r>
        <w:t xml:space="preserve">100%</w:t>
      </w:r>
    </w:p>
    <w:p>
      <w:pPr>
        <w:pStyle w:val="BodyText"/>
      </w:pPr>
      <w:r>
        <w:t xml:space="preserve">+18%</w:t>
      </w:r>
    </w:p>
    <w:bookmarkEnd w:id="21"/>
    <w:bookmarkStart w:id="22" w:name="iii.-market-context-in-indonesia-jakarta"/>
    <w:p>
      <w:pPr>
        <w:pStyle w:val="Heading2"/>
      </w:pPr>
      <w:r>
        <w:t xml:space="preserve">III. Market Context in Indonesia Jakarta</w:t>
      </w:r>
    </w:p>
    <w:p>
      <w:pPr>
        <w:pStyle w:val="FirstParagraph"/>
      </w:pPr>
      <w:r>
        <w:t xml:space="preserve">Jakarta's dental market has experienced exponential growth driven by rising middle-class disposable income (up 12% YoY in Indonesia Jakarta) and heightened health awareness following the pandemic. The Indonesian government's "Jaminan Kesehatan Nasional" (JKN) program now covers basic dental procedures for 90% of citizens, but private clinics like JDE thrive on specialized services not covered by insurance. Our strategic location near business districts (Thamrin, Sudirman) and residential hubs (Kuningan, Senayan) positions us perfectly to capture high-value patients seeking premium care in Indonesia Jakarta.</w:t>
      </w:r>
    </w:p>
    <w:bookmarkEnd w:id="22"/>
    <w:bookmarkStart w:id="23" w:name="Xab519bc46b2fc36a1ddd697bc1583f8e2a25b99"/>
    <w:p>
      <w:pPr>
        <w:pStyle w:val="Heading2"/>
      </w:pPr>
      <w:r>
        <w:t xml:space="preserve">IV. Critical Success Factors for the Dentist Practice</w:t>
      </w:r>
    </w:p>
    <w:p>
      <w:pPr>
        <w:pStyle w:val="FirstParagraph"/>
      </w:pPr>
      <w:r>
        <w:rPr>
          <w:bCs/>
          <w:b/>
        </w:rPr>
        <w:t xml:space="preserve">A. Technology Integration:</w:t>
      </w:r>
      <w:r>
        <w:t xml:space="preserve"> </w:t>
      </w:r>
      <w:r>
        <w:t xml:space="preserve">Implementation of AI-powered digital X-rays and CAD/CAM technology reduced appointment wait times by 35% (from 48hrs to 31hrs). This was pivotal in attracting tech-savvy professionals working in Jakarta's corporate sector.</w:t>
      </w:r>
    </w:p>
    <w:p>
      <w:pPr>
        <w:pStyle w:val="BodyText"/>
      </w:pPr>
      <w:r>
        <w:rPr>
          <w:bCs/>
          <w:b/>
        </w:rPr>
        <w:t xml:space="preserve">B. Cultural Competence:</w:t>
      </w:r>
      <w:r>
        <w:t xml:space="preserve"> </w:t>
      </w:r>
      <w:r>
        <w:t xml:space="preserve">All dental staff received specialized training in Indonesian patient communication, including Bahasa Indonesia proficiency and understanding of local oral health traditions. This significantly improved patient retention rates (92%) compared to the Jakarta industry average of 78%.</w:t>
      </w:r>
    </w:p>
    <w:p>
      <w:pPr>
        <w:pStyle w:val="BodyText"/>
      </w:pPr>
      <w:r>
        <w:rPr>
          <w:bCs/>
          <w:b/>
        </w:rPr>
        <w:t xml:space="preserve">C. Premium Service Positioning:</w:t>
      </w:r>
      <w:r>
        <w:t xml:space="preserve"> </w:t>
      </w:r>
      <w:r>
        <w:t xml:space="preserve">Our "Elite Dental Membership" program (IDR 1,500,000/year) now boasts 427 active subscribers – a 65% increase since Q1. Members receive priority scheduling and complimentary oral health consultations, directly contributing to our high-margin service revenue.</w:t>
      </w:r>
    </w:p>
    <w:bookmarkEnd w:id="23"/>
    <w:bookmarkStart w:id="24" w:name="Xadb70c2013adb35fa06be3d2f3dcd59cbf2e7dd"/>
    <w:p>
      <w:pPr>
        <w:pStyle w:val="Heading2"/>
      </w:pPr>
      <w:r>
        <w:t xml:space="preserve">V. Challenges in the Jakarta Dental Market</w:t>
      </w:r>
    </w:p>
    <w:p>
      <w:pPr>
        <w:pStyle w:val="FirstParagraph"/>
      </w:pPr>
      <w:r>
        <w:rPr>
          <w:bCs/>
          <w:b/>
        </w:rPr>
        <w:t xml:space="preserve">A. Rising Operational Costs:</w:t>
      </w:r>
      <w:r>
        <w:t xml:space="preserve"> </w:t>
      </w:r>
      <w:r>
        <w:t xml:space="preserve">Electricity costs surged by 18% due to Jakarta's energy crisis, impacting all dental practices. JDE mitigated this through solar panel installation at our Sudirman clinic.</w:t>
      </w:r>
    </w:p>
    <w:p>
      <w:pPr>
        <w:pStyle w:val="BodyText"/>
      </w:pPr>
      <w:r>
        <w:rPr>
          <w:bCs/>
          <w:b/>
        </w:rPr>
        <w:t xml:space="preserve">B. Competition Intensification:</w:t>
      </w:r>
      <w:r>
        <w:t xml:space="preserve"> </w:t>
      </w:r>
      <w:r>
        <w:t xml:space="preserve">Three new dental chains entered Jakarta's premium segment this quarter, though JDE maintained market share through superior patient experience metrics (4.8/5 average rating vs industry 3.9).</w:t>
      </w:r>
    </w:p>
    <w:p>
      <w:pPr>
        <w:pStyle w:val="BodyText"/>
      </w:pPr>
      <w:r>
        <w:rPr>
          <w:bCs/>
          <w:b/>
        </w:rPr>
        <w:t xml:space="preserve">C. Insurance Reimbursement Delays:</w:t>
      </w:r>
      <w:r>
        <w:t xml:space="preserve"> </w:t>
      </w:r>
      <w:r>
        <w:t xml:space="preserve">Despite JKN coverage, payment processing for insured patients averages 62 days (industry standard: 45 days), creating cash flow strain during peak seasons.</w:t>
      </w:r>
    </w:p>
    <w:bookmarkEnd w:id="24"/>
    <w:bookmarkStart w:id="25" w:name="X4a02074cf897d757c7a4e7638e873660f26dfab"/>
    <w:p>
      <w:pPr>
        <w:pStyle w:val="Heading2"/>
      </w:pPr>
      <w:r>
        <w:t xml:space="preserve">VI. Strategic Opportunities in Indonesia Jakarta</w:t>
      </w:r>
    </w:p>
    <w:p>
      <w:pPr>
        <w:pStyle w:val="FirstParagraph"/>
      </w:pPr>
      <w:r>
        <w:rPr>
          <w:bCs/>
          <w:b/>
        </w:rPr>
        <w:t xml:space="preserve">A. Corporate Wellness Partnerships:</w:t>
      </w:r>
      <w:r>
        <w:t xml:space="preserve"> </w:t>
      </w:r>
      <w:r>
        <w:t xml:space="preserve">Secured new contracts with 7 major Jakarta-based corporations (including Bank Mandiri and GoTo Group) for on-site dental screenings, generating IDR 850 million in Q3 revenue – a channel we're aggressively expanding.</w:t>
      </w:r>
    </w:p>
    <w:p>
      <w:pPr>
        <w:pStyle w:val="BodyText"/>
      </w:pPr>
      <w:r>
        <w:rPr>
          <w:bCs/>
          <w:b/>
        </w:rPr>
        <w:t xml:space="preserve">B. Tele-Dentistry Expansion:</w:t>
      </w:r>
      <w:r>
        <w:t xml:space="preserve"> </w:t>
      </w:r>
      <w:r>
        <w:t xml:space="preserve">Piloted virtual consultations for post-operative care, reducing no-shows by 29% and capturing underserved patients in Jakarta's outer districts (Tangerang, Bekasi).</w:t>
      </w:r>
    </w:p>
    <w:p>
      <w:pPr>
        <w:pStyle w:val="BodyText"/>
      </w:pPr>
      <w:r>
        <w:rPr>
          <w:bCs/>
          <w:b/>
        </w:rPr>
        <w:t xml:space="preserve">C. Government Health Initiatives:</w:t>
      </w:r>
      <w:r>
        <w:t xml:space="preserve"> </w:t>
      </w:r>
      <w:r>
        <w:t xml:space="preserve">Partnering with Jakarta City Health Office to provide free dental screenings at public schools – enhancing brand visibility while addressing a critical gap in children's oral health across Indonesia.</w:t>
      </w:r>
    </w:p>
    <w:bookmarkEnd w:id="25"/>
    <w:bookmarkStart w:id="26" w:name="vii.-conclusion-forward-strategy"/>
    <w:p>
      <w:pPr>
        <w:pStyle w:val="Heading2"/>
      </w:pPr>
      <w:r>
        <w:t xml:space="preserve">VII. Conclusion &amp; Forward Strategy</w:t>
      </w:r>
    </w:p>
    <w:p>
      <w:pPr>
        <w:pStyle w:val="FirstParagraph"/>
      </w:pPr>
      <w:r>
        <w:t xml:space="preserve">The Q3 Sales Report confirms Jakarta Dental Excellence as the market leader for premium dental services in Indonesia Jakarta, with strategic investments delivering superior financial returns and patient satisfaction. Our focus on technological innovation combined with cultural understanding has created a defensible competitive advantage in this growing market.</w:t>
      </w:r>
    </w:p>
    <w:p>
      <w:pPr>
        <w:pStyle w:val="BodyText"/>
      </w:pPr>
      <w:r>
        <w:t xml:space="preserve">For Q4 2023, we recommend: (1) Expanding tele-dentistry to all three locations to serve 5,000+ additional patients; (2) Launching a "Dental Tourism" package targeting ASEAN travelers seeking high-quality dental work at 45% lower cost than Singapore/Malaysia; and (3) Developing a specialized implant program for Jakarta's aging population – the fastest-growing demographic segment in Indonesia Jakarta.</w:t>
      </w:r>
    </w:p>
    <w:p>
      <w:pPr>
        <w:pStyle w:val="BodyText"/>
      </w:pPr>
      <w:r>
        <w:t xml:space="preserve">As the premier dentist practice in Indonesia's economic capital, JDE is not merely responding to market trends but actively shaping them. This Sales Report underscores our commitment to setting new standards for dental excellence across Jakarta and inspiring confidence among stakeholders that we will maintain our leadership position as the city's most trusted dental care provider.</w:t>
      </w:r>
    </w:p>
    <w:p>
      <w:pPr>
        <w:pStyle w:val="BodyText"/>
      </w:pPr>
      <w:r>
        <w:rPr>
          <w:iCs/>
          <w:i/>
        </w:rPr>
        <w:t xml:space="preserve">Prepared by: Jakarta Dental Excellence Corporate Strategy Office</w:t>
      </w:r>
      <w:r>
        <w:br/>
      </w:r>
      <w:r>
        <w:rPr>
          <w:iCs/>
          <w:i/>
        </w:rPr>
        <w:t xml:space="preserve">For all sales data references, please consult the IDA (Indonesian Dental Association) Market Intelligence Database 2023. All figures converted using Bank Indonesia exchange rate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Jakarta Dental Excellence</dc:title>
  <dc:creator/>
  <dc:language>en</dc:language>
  <cp:keywords/>
  <dcterms:created xsi:type="dcterms:W3CDTF">2026-07-21T08:34:09Z</dcterms:created>
  <dcterms:modified xsi:type="dcterms:W3CDTF">2026-07-21T08:34:09Z</dcterms:modified>
</cp:coreProperties>
</file>

<file path=docProps/custom.xml><?xml version="1.0" encoding="utf-8"?>
<Properties xmlns="http://schemas.openxmlformats.org/officeDocument/2006/custom-properties" xmlns:vt="http://schemas.openxmlformats.org/officeDocument/2006/docPropsVTypes"/>
</file>