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Baghdad</w:t>
      </w:r>
      <w:r>
        <w:t xml:space="preserve"> </w:t>
      </w:r>
      <w:r>
        <w:t xml:space="preserve">Market</w:t>
      </w:r>
    </w:p>
    <w:bookmarkStart w:id="28" w:name="Xde37156e19977d07815dc46160e52eb8eb336ce"/>
    <w:p>
      <w:pPr>
        <w:pStyle w:val="Heading1"/>
      </w:pPr>
      <w:r>
        <w:t xml:space="preserve">Comprehensive Sales Performance Report: Dental Services in Baghdad, Iraq</w:t>
      </w:r>
    </w:p>
    <w:bookmarkStart w:id="20" w:name="X5844060a7d1e431cd139fe7fc06ae7d2faacb17"/>
    <w:p>
      <w:pPr>
        <w:pStyle w:val="Heading2"/>
      </w:pPr>
      <w:r>
        <w:t xml:space="preserve">Prepared For: Executive Leadership &amp; Stakeholders | Date: October 26, 2023</w:t>
      </w:r>
    </w:p>
    <w:p>
      <w:pPr>
        <w:pStyle w:val="FirstParagraph"/>
      </w:pPr>
      <w:r>
        <w:rPr>
          <w:bCs/>
          <w:b/>
        </w:rPr>
        <w:t xml:space="preserve">Report Scope:</w:t>
      </w:r>
      <w:r>
        <w:t xml:space="preserve"> </w:t>
      </w:r>
      <w:r>
        <w:t xml:space="preserve">This document details the sales performance, market trends, and strategic outlook for dental service providers operating within Baghdad, Iraq. It specifically analyzes revenue streams related to dental care delivery (not product sales), focusing on patient acquisition, service utilization, and financial metrics across key districts including Karkh, Rusafa, Al-Sadr City, and Adhamiyah.</w:t>
      </w:r>
    </w:p>
    <w:bookmarkEnd w:id="20"/>
    <w:bookmarkStart w:id="21" w:name="executive-summary"/>
    <w:p>
      <w:pPr>
        <w:pStyle w:val="Heading2"/>
      </w:pPr>
      <w:r>
        <w:t xml:space="preserve">Executive Summary</w:t>
      </w:r>
    </w:p>
    <w:p>
      <w:pPr>
        <w:pStyle w:val="FirstParagraph"/>
      </w:pPr>
      <w:r>
        <w:t xml:space="preserve">The Baghdad dental services market demonstrated resilient growth in Q3 2023 despite ongoing economic challenges. Total sales revenue for participating clinics reached IQD 14.8 billion (approx. USD $10.5 million), representing a 17% year-over-year increase and exceeding Q2 projections by 9%. This growth is directly attributable to rising patient demand for affordable, quality dental care in a city where access remains limited outside major private networks. The report underscores the critical role of strategic pricing, community outreach, and supply chain management in sustaining this momentum within Iraq's unique economic landscape.</w:t>
      </w:r>
    </w:p>
    <w:bookmarkEnd w:id="21"/>
    <w:bookmarkStart w:id="22" w:name="market-context-baghdad-dental-landscape"/>
    <w:p>
      <w:pPr>
        <w:pStyle w:val="Heading2"/>
      </w:pPr>
      <w:r>
        <w:t xml:space="preserve">Market Context: Baghdad Dental Landscape</w:t>
      </w:r>
    </w:p>
    <w:p>
      <w:pPr>
        <w:pStyle w:val="FirstParagraph"/>
      </w:pPr>
      <w:r>
        <w:t xml:space="preserve">Baghdad faces a significant dental care gap. Public facilities are often under-resourced, while private clinics struggle with supply chain disruptions and fluctuating currency values. This creates both a substantial opportunity and challenge for dental service providers. Our sales data reveals that 68% of new patients in Q3 were first-time users of private dental services, indicating strong untapped market potential driven by increasing awareness (via local radio campaigns and clinic partnerships) and rising disposable income among middle-class households. Key drivers include heightened focus on oral health education in schools near Baghdad University and the expansion of dental insurance partnerships with major employers like those in Al-Rashid Commercial Center.</w:t>
      </w:r>
    </w:p>
    <w:bookmarkEnd w:id="22"/>
    <w:bookmarkStart w:id="23" w:name="sales-performance-breakdown-q3-2023"/>
    <w:p>
      <w:pPr>
        <w:pStyle w:val="Heading2"/>
      </w:pPr>
      <w:r>
        <w:t xml:space="preserve">Sales Performance Breakdown: Q3 2023</w:t>
      </w:r>
    </w:p>
    <w:p>
      <w:pPr>
        <w:pStyle w:val="FirstParagraph"/>
      </w:pPr>
      <w:r>
        <w:t xml:space="preserve">Service Category</w:t>
      </w:r>
    </w:p>
    <w:p>
      <w:pPr>
        <w:pStyle w:val="BodyText"/>
      </w:pPr>
      <w:r>
        <w:t xml:space="preserve">Revenue (IQD)</w:t>
      </w:r>
    </w:p>
    <w:p>
      <w:pPr>
        <w:pStyle w:val="BodyText"/>
      </w:pPr>
      <w:r>
        <w:t xml:space="preserve">% of Total Sales</w:t>
      </w:r>
    </w:p>
    <w:p>
      <w:pPr>
        <w:pStyle w:val="BodyText"/>
      </w:pPr>
      <w:r>
        <w:t xml:space="preserve">YoY Growth</w:t>
      </w:r>
    </w:p>
    <w:p>
      <w:pPr>
        <w:pStyle w:val="BodyText"/>
      </w:pPr>
      <w:r>
        <w:t xml:space="preserve">Dental Checkups &amp; Cleanings</w:t>
      </w:r>
    </w:p>
    <w:p>
      <w:pPr>
        <w:pStyle w:val="BodyText"/>
      </w:pPr>
      <w:r>
        <w:t xml:space="preserve">5.2B</w:t>
      </w:r>
    </w:p>
    <w:p>
      <w:pPr>
        <w:pStyle w:val="BodyText"/>
      </w:pPr>
      <w:r>
        <w:t xml:space="preserve">35.1%</w:t>
      </w:r>
    </w:p>
    <w:p>
      <w:pPr>
        <w:pStyle w:val="BodyText"/>
      </w:pPr>
      <w:r>
        <w:t xml:space="preserve">22%</w:t>
      </w:r>
    </w:p>
    <w:p>
      <w:pPr>
        <w:pStyle w:val="BodyText"/>
      </w:pPr>
      <w:r>
        <w:t xml:space="preserve">Crowns &amp; Bridges</w:t>
      </w:r>
    </w:p>
    <w:p>
      <w:pPr>
        <w:pStyle w:val="BodyText"/>
      </w:pPr>
      <w:r>
        <w:t xml:space="preserve">3.8B</w:t>
      </w:r>
    </w:p>
    <w:p>
      <w:pPr>
        <w:pStyle w:val="BodyText"/>
      </w:pPr>
      <w:r>
        <w:t xml:space="preserve">25.7%</w:t>
      </w:r>
    </w:p>
    <w:p>
      <w:pPr>
        <w:pStyle w:val="BodyText"/>
      </w:pPr>
      <w:r>
        <w:t xml:space="preserve">19%</w:t>
      </w:r>
    </w:p>
    <w:p>
      <w:pPr>
        <w:pStyle w:val="BodyText"/>
      </w:pPr>
      <w:r>
        <w:t xml:space="preserve">Dental Implants</w:t>
      </w:r>
    </w:p>
    <w:p>
      <w:pPr>
        <w:pStyle w:val="BodyText"/>
      </w:pPr>
      <w:r>
        <w:t xml:space="preserve">3.1B</w:t>
      </w:r>
    </w:p>
    <w:p>
      <w:pPr>
        <w:pStyle w:val="BodyText"/>
      </w:pPr>
      <w:r>
        <w:t xml:space="preserve">20.9%</w:t>
      </w:r>
    </w:p>
    <w:p>
      <w:pPr>
        <w:pStyle w:val="BodyText"/>
      </w:pPr>
      <w:r>
        <w:t xml:space="preserve">45%*</w:t>
      </w:r>
    </w:p>
    <w:p>
      <w:pPr>
        <w:pStyle w:val="BodyText"/>
      </w:pPr>
      <w:r>
        <w:t xml:space="preserve">Pediatric Dentistry</w:t>
      </w:r>
    </w:p>
    <w:p>
      <w:pPr>
        <w:pStyle w:val="BodyText"/>
      </w:pPr>
      <w:r>
        <w:t xml:space="preserve">1.5B</w:t>
      </w:r>
    </w:p>
    <w:p>
      <w:pPr>
        <w:pStyle w:val="BodyText"/>
      </w:pPr>
      <w:r>
        <w:t xml:space="preserve">10.1%</w:t>
      </w:r>
    </w:p>
    <w:p>
      <w:pPr>
        <w:pStyle w:val="BodyText"/>
      </w:pPr>
      <w:r>
        <w:t xml:space="preserve">32%</w:t>
      </w:r>
    </w:p>
    <w:p>
      <w:pPr>
        <w:pStyle w:val="BodyText"/>
      </w:pPr>
      <w:r>
        <w:t xml:space="preserve">Dentures &amp; Prosthetics</w:t>
      </w:r>
    </w:p>
    <w:p>
      <w:pPr>
        <w:pStyle w:val="BodyText"/>
      </w:pPr>
      <w:r>
        <w:t xml:space="preserve">0.9B</w:t>
      </w:r>
    </w:p>
    <w:p>
      <w:pPr>
        <w:pStyle w:val="BodyText"/>
      </w:pPr>
      <w:r>
        <w:t xml:space="preserve">6.1%</w:t>
      </w:r>
    </w:p>
    <w:p>
      <w:pPr>
        <w:pStyle w:val="BodyText"/>
      </w:pPr>
      <w:r>
        <w:t xml:space="preserve">8%</w:t>
      </w:r>
    </w:p>
    <w:p>
      <w:pPr>
        <w:pStyle w:val="BodyText"/>
      </w:pPr>
      <w:r>
        <w:t xml:space="preserve">Orthodontics (Braces)</w:t>
      </w:r>
    </w:p>
    <w:p>
      <w:pPr>
        <w:pStyle w:val="BodyText"/>
      </w:pPr>
      <w:r>
        <w:t xml:space="preserve">0.3B</w:t>
      </w:r>
    </w:p>
    <w:p>
      <w:pPr>
        <w:pStyle w:val="BodyText"/>
      </w:pPr>
      <w:r>
        <w:t xml:space="preserve">2.0%</w:t>
      </w:r>
    </w:p>
    <w:p>
      <w:pPr>
        <w:pStyle w:val="BodyText"/>
      </w:pPr>
      <w:r>
        <w:t xml:space="preserve">-2% (decline)</w:t>
      </w:r>
    </w:p>
    <w:p>
      <w:pPr>
        <w:pStyle w:val="BodyText"/>
      </w:pPr>
      <w:r>
        <w:t xml:space="preserve">Total</w:t>
      </w:r>
    </w:p>
    <w:p>
      <w:pPr>
        <w:pStyle w:val="BodyText"/>
      </w:pPr>
      <w:r>
        <w:t xml:space="preserve">14.8B</w:t>
      </w:r>
    </w:p>
    <w:p>
      <w:pPr>
        <w:pStyle w:val="BodyText"/>
      </w:pPr>
      <w:r>
        <w:t xml:space="preserve">100%</w:t>
      </w:r>
    </w:p>
    <w:p>
      <w:pPr>
        <w:pStyle w:val="BodyText"/>
      </w:pPr>
      <w:r>
        <w:t xml:space="preserve">17%</w:t>
      </w:r>
    </w:p>
    <w:p>
      <w:pPr>
        <w:pStyle w:val="BodyText"/>
      </w:pPr>
      <w:r>
        <w:rPr>
          <w:iCs/>
          <w:i/>
        </w:rPr>
        <w:t xml:space="preserve">*Note: Implant sales growth driven by new clinic partnerships with foreign dental suppliers, mitigating recent import delays. Orthodontics decline attributed to high cost sensitivity among youth patients during peak inflation.</w:t>
      </w:r>
    </w:p>
    <w:bookmarkEnd w:id="23"/>
    <w:bookmarkStart w:id="24" w:name="key-sales-drivers-in-baghdad"/>
    <w:p>
      <w:pPr>
        <w:pStyle w:val="Heading2"/>
      </w:pPr>
      <w:r>
        <w:t xml:space="preserve">Key Sales Drivers in Baghdad</w:t>
      </w:r>
    </w:p>
    <w:p>
      <w:pPr>
        <w:numPr>
          <w:ilvl w:val="0"/>
          <w:numId w:val="1001"/>
        </w:numPr>
        <w:pStyle w:val="Compact"/>
      </w:pPr>
      <w:r>
        <w:rPr>
          <w:bCs/>
          <w:b/>
        </w:rPr>
        <w:t xml:space="preserve">Community Health Initiatives:</w:t>
      </w:r>
      <w:r>
        <w:t xml:space="preserve"> </w:t>
      </w:r>
      <w:r>
        <w:t xml:space="preserve">Free mobile dental units operated in Al-Mustansiriya University and Shorja neighborhoods generated 1,800+ new patient leads, directly contributing to a 37% increase in checkup sales.</w:t>
      </w:r>
    </w:p>
    <w:p>
      <w:pPr>
        <w:numPr>
          <w:ilvl w:val="0"/>
          <w:numId w:val="1001"/>
        </w:numPr>
        <w:pStyle w:val="Compact"/>
      </w:pPr>
      <w:r>
        <w:rPr>
          <w:bCs/>
          <w:b/>
        </w:rPr>
        <w:t xml:space="preserve">Pricing Strategy Adaptation:</w:t>
      </w:r>
      <w:r>
        <w:t xml:space="preserve"> </w:t>
      </w:r>
      <w:r>
        <w:t xml:space="preserve">Introduction of tiered payment plans (e.g., "Installment Plan: 4 installments at no interest for crowns") boosted high-value service uptake by 28% in low-to-mid-income areas like Al-Salamah.</w:t>
      </w:r>
    </w:p>
    <w:p>
      <w:pPr>
        <w:numPr>
          <w:ilvl w:val="0"/>
          <w:numId w:val="1001"/>
        </w:numPr>
        <w:pStyle w:val="Compact"/>
      </w:pPr>
      <w:r>
        <w:rPr>
          <w:bCs/>
          <w:b/>
        </w:rPr>
        <w:t xml:space="preserve">Digital Patient Acquisition:</w:t>
      </w:r>
      <w:r>
        <w:t xml:space="preserve"> </w:t>
      </w:r>
      <w:r>
        <w:t xml:space="preserve">Targeted Facebook and Instagram campaigns (using local Arabic dialect) reached over 500,000 Baghdad residents, driving a 41% rise in appointment bookings compared to Q2.</w:t>
      </w:r>
    </w:p>
    <w:p>
      <w:pPr>
        <w:numPr>
          <w:ilvl w:val="0"/>
          <w:numId w:val="1001"/>
        </w:numPr>
        <w:pStyle w:val="Compact"/>
      </w:pPr>
      <w:r>
        <w:rPr>
          <w:bCs/>
          <w:b/>
        </w:rPr>
        <w:t xml:space="preserve">Supply Chain Optimization:</w:t>
      </w:r>
      <w:r>
        <w:t xml:space="preserve"> </w:t>
      </w:r>
      <w:r>
        <w:t xml:space="preserve">Partnering with regional distributors in Amman secured stable imports of critical dental materials (cement, composites), reducing service delays by 65% and improving patient retention.</w:t>
      </w:r>
    </w:p>
    <w:bookmarkEnd w:id="24"/>
    <w:bookmarkStart w:id="25" w:name="Xa2dc4d4a75cb906f3be472740f3fd8466001ff9"/>
    <w:p>
      <w:pPr>
        <w:pStyle w:val="Heading2"/>
      </w:pPr>
      <w:r>
        <w:t xml:space="preserve">Challenges Impacting Dental Sales Performance</w:t>
      </w:r>
    </w:p>
    <w:p>
      <w:pPr>
        <w:pStyle w:val="FirstParagraph"/>
      </w:pPr>
      <w:r>
        <w:t xml:space="preserve">Despite positive growth, significant obstacles persist for dental service providers in Baghdad:</w:t>
      </w:r>
    </w:p>
    <w:p>
      <w:pPr>
        <w:numPr>
          <w:ilvl w:val="0"/>
          <w:numId w:val="1002"/>
        </w:numPr>
        <w:pStyle w:val="Compact"/>
      </w:pPr>
      <w:r>
        <w:rPr>
          <w:bCs/>
          <w:b/>
        </w:rPr>
        <w:t xml:space="preserve">Economic Volatility:</w:t>
      </w:r>
      <w:r>
        <w:t xml:space="preserve"> </w:t>
      </w:r>
      <w:r>
        <w:t xml:space="preserve">Inflation (13.5% annually) necessitates frequent pricing adjustments, complicating patient budgeting and causing short-term sales fluctuations.</w:t>
      </w:r>
    </w:p>
    <w:p>
      <w:pPr>
        <w:numPr>
          <w:ilvl w:val="0"/>
          <w:numId w:val="1002"/>
        </w:numPr>
        <w:pStyle w:val="Compact"/>
      </w:pPr>
      <w:r>
        <w:rPr>
          <w:bCs/>
          <w:b/>
        </w:rPr>
        <w:t xml:space="preserve">Medical Supply Constraints:</w:t>
      </w:r>
      <w:r>
        <w:t xml:space="preserve"> </w:t>
      </w:r>
      <w:r>
        <w:t xml:space="preserve">Import delays for specialized equipment (e.g., digital X-ray machines) from Turkey and Germany delayed clinic expansions in new districts like Al-Qadisiyah, limiting sales potential by ~8% in Q3.</w:t>
      </w:r>
    </w:p>
    <w:p>
      <w:pPr>
        <w:numPr>
          <w:ilvl w:val="0"/>
          <w:numId w:val="1002"/>
        </w:numPr>
        <w:pStyle w:val="Compact"/>
      </w:pPr>
      <w:r>
        <w:rPr>
          <w:bCs/>
          <w:b/>
        </w:rPr>
        <w:t xml:space="preserve">Cultural Perceptions:</w:t>
      </w:r>
      <w:r>
        <w:t xml:space="preserve"> </w:t>
      </w:r>
      <w:r>
        <w:t xml:space="preserve">Persistent stigma around dental care as "luxury" among some demographics requires sustained education efforts to convert interest into service purchases.</w:t>
      </w:r>
    </w:p>
    <w:p>
      <w:pPr>
        <w:numPr>
          <w:ilvl w:val="0"/>
          <w:numId w:val="1002"/>
        </w:numPr>
        <w:pStyle w:val="Compact"/>
      </w:pPr>
      <w:r>
        <w:rPr>
          <w:bCs/>
          <w:b/>
        </w:rPr>
        <w:t xml:space="preserve">Competition Pressure:</w:t>
      </w:r>
      <w:r>
        <w:t xml:space="preserve"> </w:t>
      </w:r>
      <w:r>
        <w:t xml:space="preserve">New, lower-cost clinics emerging near Al-Rasheed Street are fragmenting the market and pressuring price points for routine services.</w:t>
      </w:r>
    </w:p>
    <w:bookmarkEnd w:id="25"/>
    <w:bookmarkStart w:id="26" w:name="Xf06e8de5deefc3ba7913c11c29e1bd8d548ea27"/>
    <w:p>
      <w:pPr>
        <w:pStyle w:val="Heading2"/>
      </w:pPr>
      <w:r>
        <w:t xml:space="preserve">Strategic Recommendations for Sustained Growth</w:t>
      </w:r>
    </w:p>
    <w:p>
      <w:pPr>
        <w:numPr>
          <w:ilvl w:val="0"/>
          <w:numId w:val="1003"/>
        </w:numPr>
        <w:pStyle w:val="Compact"/>
      </w:pPr>
      <w:r>
        <w:rPr>
          <w:bCs/>
          <w:b/>
        </w:rPr>
        <w:t xml:space="preserve">Expand Tiered Financing:</w:t>
      </w:r>
      <w:r>
        <w:t xml:space="preserve"> </w:t>
      </w:r>
      <w:r>
        <w:t xml:space="preserve">Partner with local banks (e.g., Al-Rafidain Bank) to develop more flexible, Sharia-compliant payment plans for high-cost procedures like implants and orthodontics.</w:t>
      </w:r>
    </w:p>
    <w:p>
      <w:pPr>
        <w:numPr>
          <w:ilvl w:val="0"/>
          <w:numId w:val="1003"/>
        </w:numPr>
        <w:pStyle w:val="Compact"/>
      </w:pPr>
      <w:r>
        <w:rPr>
          <w:bCs/>
          <w:b/>
        </w:rPr>
        <w:t xml:space="preserve">Invest in Local Training:</w:t>
      </w:r>
      <w:r>
        <w:t xml:space="preserve"> </w:t>
      </w:r>
      <w:r>
        <w:t xml:space="preserve">Collaborate with Baghdad University's Dental College to create certified technician training programs, reducing dependency on imported labor and lowering operational costs by 12-15%.</w:t>
      </w:r>
    </w:p>
    <w:p>
      <w:pPr>
        <w:numPr>
          <w:ilvl w:val="0"/>
          <w:numId w:val="1003"/>
        </w:numPr>
        <w:pStyle w:val="Compact"/>
      </w:pPr>
      <w:r>
        <w:rPr>
          <w:bCs/>
          <w:b/>
        </w:rPr>
        <w:t xml:space="preserve">Enhance Digital Engagement:</w:t>
      </w:r>
      <w:r>
        <w:t xml:space="preserve"> </w:t>
      </w:r>
      <w:r>
        <w:t xml:space="preserve">Launch a Baghdad-specific mobile app for appointment booking, tele-dentistry consultations (for follow-ups), and educational content in local dialect to deepen patient relationships.</w:t>
      </w:r>
    </w:p>
    <w:p>
      <w:pPr>
        <w:numPr>
          <w:ilvl w:val="0"/>
          <w:numId w:val="1003"/>
        </w:numPr>
        <w:pStyle w:val="Compact"/>
      </w:pPr>
      <w:r>
        <w:rPr>
          <w:bCs/>
          <w:b/>
        </w:rPr>
        <w:t xml:space="preserve">Diversify Supply Sources:</w:t>
      </w:r>
      <w:r>
        <w:t xml:space="preserve"> </w:t>
      </w:r>
      <w:r>
        <w:t xml:space="preserve">Establish partnerships with Iranian dental material suppliers to create a contingency supply chain, mitigating future import disruptions from Middle Eastern routes.</w:t>
      </w:r>
    </w:p>
    <w:bookmarkEnd w:id="26"/>
    <w:bookmarkStart w:id="27" w:name="X2efcecaac7c58e23bcc5197657f11477e62065b"/>
    <w:p>
      <w:pPr>
        <w:pStyle w:val="Heading2"/>
      </w:pPr>
      <w:r>
        <w:t xml:space="preserve">Conclusion: The Path Forward for Dental Services in Baghdad</w:t>
      </w:r>
    </w:p>
    <w:p>
      <w:pPr>
        <w:pStyle w:val="FirstParagraph"/>
      </w:pPr>
      <w:r>
        <w:t xml:space="preserve">The Q3 sales performance confirms a robust and growing demand for accessible, quality dental care within Baghdad. While challenges like economic instability and supply chain fragility are inherent to the Iraqi market, our adaptive pricing strategies, community-focused outreach, and operational optimizations have positioned dental service providers for sustainable growth. Success hinges on continuing to prioritize patient affordability without compromising care quality—a critical balance in Iraq's evolving healthcare landscape. We project a further 15-20% sales increase in Q4 2023 as our new financing models gain traction and economic stability shows modest signs of recovery.</w:t>
      </w:r>
    </w:p>
    <w:p>
      <w:pPr>
        <w:pStyle w:val="BodyText"/>
      </w:pPr>
      <w:r>
        <w:rPr>
          <w:bCs/>
          <w:b/>
        </w:rPr>
        <w:t xml:space="preserve">Prepared By:</w:t>
      </w:r>
      <w:r>
        <w:t xml:space="preserve"> </w:t>
      </w:r>
      <w:r>
        <w:t xml:space="preserve">Strategic Business Development Team, Baghdad Dental Alliance</w:t>
      </w:r>
    </w:p>
    <w:p>
      <w:pPr>
        <w:pStyle w:val="BodyText"/>
      </w:pPr>
      <w:r>
        <w:rPr>
          <w:bCs/>
          <w:b/>
        </w:rPr>
        <w:t xml:space="preserve">Report Date:</w:t>
      </w:r>
      <w:r>
        <w:t xml:space="preserve"> </w:t>
      </w:r>
      <w:r>
        <w:t xml:space="preserve">October 26, 2023</w:t>
      </w:r>
    </w:p>
    <w:p>
      <w:pPr>
        <w:pStyle w:val="BodyText"/>
      </w:pPr>
      <w:r>
        <w:rPr>
          <w:iCs/>
          <w:i/>
        </w:rPr>
        <w:t xml:space="preserve">This report is based on internal sales data from Baghdad-based dental clinics affiliated with the Baghdad Dental Alliance. Market insights reflect current conditions in Iraq as of Q3 2023, considering regional economic factors and healthcare infrastructure limitations.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Services Sales Performance Report: Baghdad Market</dc:title>
  <dc:creator/>
  <dc:language>en</dc:language>
  <cp:keywords/>
  <dcterms:created xsi:type="dcterms:W3CDTF">2026-07-23T06:58:53Z</dcterms:created>
  <dcterms:modified xsi:type="dcterms:W3CDTF">2026-07-23T06:58:53Z</dcterms:modified>
</cp:coreProperties>
</file>

<file path=docProps/custom.xml><?xml version="1.0" encoding="utf-8"?>
<Properties xmlns="http://schemas.openxmlformats.org/officeDocument/2006/custom-properties" xmlns:vt="http://schemas.openxmlformats.org/officeDocument/2006/docPropsVTypes"/>
</file>