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Abidjan,</w:t>
      </w:r>
      <w:r>
        <w:t xml:space="preserve"> </w:t>
      </w:r>
      <w:r>
        <w:t xml:space="preserve">Ivory</w:t>
      </w:r>
      <w:r>
        <w:t xml:space="preserve"> </w:t>
      </w:r>
      <w:r>
        <w:t xml:space="preserve">Coast</w:t>
      </w:r>
      <w:r>
        <w:t xml:space="preserve"> </w:t>
      </w:r>
      <w:r>
        <w:t xml:space="preserve">-</w:t>
      </w:r>
      <w:r>
        <w:t xml:space="preserve"> </w:t>
      </w:r>
      <w:r>
        <w:t xml:space="preserve">Q1</w:t>
      </w:r>
      <w:r>
        <w:t xml:space="preserve"> </w:t>
      </w:r>
      <w:r>
        <w:t xml:space="preserve">2024</w:t>
      </w:r>
      <w:r>
        <w:t xml:space="preserve"> </w:t>
      </w:r>
      <w:r>
        <w:t xml:space="preserve">Performance</w:t>
      </w:r>
    </w:p>
    <w:bookmarkStart w:id="27" w:name="Xb8d1b595605fc74395401af80b2c8437ed21f4b"/>
    <w:p>
      <w:pPr>
        <w:pStyle w:val="Heading1"/>
      </w:pPr>
      <w:r>
        <w:t xml:space="preserve">Q1 2024 Sales Performance Report: Abidjan Dental Practice (Ivory Coast)</w:t>
      </w:r>
    </w:p>
    <w:p>
      <w:pPr>
        <w:pStyle w:val="FirstParagraph"/>
      </w:pPr>
      <w:r>
        <w:rPr>
          <w:bCs/>
          <w:b/>
        </w:rPr>
        <w:t xml:space="preserve">Date Prepared:</w:t>
      </w:r>
      <w:r>
        <w:t xml:space="preserve"> </w:t>
      </w:r>
      <w:r>
        <w:t xml:space="preserve">April 15, 2024</w:t>
      </w:r>
      <w:r>
        <w:br/>
      </w:r>
      <w:r>
        <w:rPr>
          <w:bCs/>
          <w:b/>
        </w:rPr>
        <w:t xml:space="preserve">Prepared For:</w:t>
      </w:r>
      <w:r>
        <w:t xml:space="preserve"> </w:t>
      </w:r>
      <w:r>
        <w:t xml:space="preserve">Management Team, Ivory Coast Dental Network</w:t>
      </w:r>
      <w:r>
        <w:br/>
      </w:r>
      <w:r>
        <w:rPr>
          <w:bCs/>
          <w:b/>
        </w:rPr>
        <w:t xml:space="preserve">Reporting Period:</w:t>
      </w:r>
      <w:r>
        <w:t xml:space="preserve"> </w:t>
      </w:r>
      <w:r>
        <w:t xml:space="preserve">January 1, 2024 – March 31, 2024</w:t>
      </w:r>
      <w:r>
        <w:br/>
      </w:r>
      <w:r>
        <w:rPr>
          <w:bCs/>
          <w:b/>
        </w:rPr>
        <w:t xml:space="preserve">Practice Location:</w:t>
      </w:r>
      <w:r>
        <w:t xml:space="preserve"> </w:t>
      </w:r>
      <w:r>
        <w:t xml:space="preserve">Abidjan, Ivory Coast (Primary Urban Hub)</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dental practice in Abidjan during the first quarter of 2024. As a leading provider of modern dental care in the Ivory Coast, this report underscores significant growth trajectory within Abidjan's expanding middle-class population. Total sales reached 18,500,000 XOF (West African CFA Francs), representing a 17.3% year-over-year increase and exceeding Q1 projections by 9.2%. The surge reflects rising health awareness, strategic localization of services to Abidjan's demographic needs, and effective community engagement initiatives. Key drivers included preventive care packages, cosmetic dentistry demand, and targeted outreach in high-density districts like Plateau and Cocody.</w:t>
      </w:r>
    </w:p>
    <w:bookmarkEnd w:id="20"/>
    <w:bookmarkStart w:id="21" w:name="Xf06a8e7b4e22e7ed3b70d0998ae9b8ea470dc72"/>
    <w:p>
      <w:pPr>
        <w:pStyle w:val="Heading2"/>
      </w:pPr>
      <w:r>
        <w:t xml:space="preserve">II. Market Context: Ivory Coast Abidjan Dental Landscape</w:t>
      </w:r>
    </w:p>
    <w:p>
      <w:pPr>
        <w:pStyle w:val="FirstParagraph"/>
      </w:pPr>
      <w:r>
        <w:t xml:space="preserve">Abidjan serves as the economic epicenter of the Ivory Coast, hosting over 5 million residents and a rapidly growing affluent demographic. According to the Ivorian Ministry of Health’s 2023 Oral Health Survey, only 38% of urban populations access regular dental check-ups, creating a substantial untapped market for quality care. This gap has intensified with rising disposable income (CPI increased by 5.1% in Abidjan during Q1), positioning our practice to capture significant market share through competitive pricing and culturally sensitive service delivery. The Sales Report confirms Abidjan’s unique dynamics: patients prioritize affordability without compromising on hygiene standards, a critical factor for sustained success.</w:t>
      </w:r>
    </w:p>
    <w:bookmarkEnd w:id="21"/>
    <w:bookmarkStart w:id="22" w:name="iii.-sales-performance-breakdown-q1-2024"/>
    <w:p>
      <w:pPr>
        <w:pStyle w:val="Heading2"/>
      </w:pPr>
      <w:r>
        <w:t xml:space="preserve">III. Sales Performance Breakdown (Q1 2024)</w:t>
      </w:r>
    </w:p>
    <w:p>
      <w:pPr>
        <w:pStyle w:val="FirstParagraph"/>
      </w:pPr>
      <w:r>
        <w:t xml:space="preserve">Dental Service Category</w:t>
      </w:r>
    </w:p>
    <w:p>
      <w:pPr>
        <w:pStyle w:val="BodyText"/>
      </w:pPr>
      <w:r>
        <w:t xml:space="preserve">Units Sold</w:t>
      </w:r>
    </w:p>
    <w:p>
      <w:pPr>
        <w:pStyle w:val="BodyText"/>
      </w:pPr>
      <w:r>
        <w:t xml:space="preserve">% of Total Sales</w:t>
      </w:r>
    </w:p>
    <w:p>
      <w:pPr>
        <w:pStyle w:val="BodyText"/>
      </w:pPr>
      <w:r>
        <w:t xml:space="preserve">Avg. Price (XOF)</w:t>
      </w:r>
    </w:p>
    <w:p>
      <w:pPr>
        <w:pStyle w:val="BodyText"/>
      </w:pPr>
      <w:r>
        <w:t xml:space="preserve">Preventive Care (Cleanings, Check-ups)</w:t>
      </w:r>
    </w:p>
    <w:p>
      <w:pPr>
        <w:pStyle w:val="BodyText"/>
      </w:pPr>
      <w:r>
        <w:t xml:space="preserve">247</w:t>
      </w:r>
    </w:p>
    <w:p>
      <w:pPr>
        <w:pStyle w:val="BodyText"/>
      </w:pPr>
      <w:r>
        <w:t xml:space="preserve">38.2%</w:t>
      </w:r>
    </w:p>
    <w:p>
      <w:pPr>
        <w:pStyle w:val="BodyText"/>
      </w:pPr>
      <w:r>
        <w:t xml:space="preserve">5,500</w:t>
      </w:r>
    </w:p>
    <w:p>
      <w:pPr>
        <w:pStyle w:val="BodyText"/>
      </w:pPr>
      <w:r>
        <w:t xml:space="preserve">Cosmetic Procedures (Whitening, Veneers)</w:t>
      </w:r>
    </w:p>
    <w:p>
      <w:pPr>
        <w:pStyle w:val="BodyText"/>
      </w:pPr>
      <w:r>
        <w:t xml:space="preserve">Dental Implants &amp; Surgery</w:t>
      </w:r>
    </w:p>
    <w:p>
      <w:pPr>
        <w:pStyle w:val="BodyText"/>
      </w:pPr>
      <w:r>
        <w:t xml:space="preserve">62</w:t>
      </w:r>
    </w:p>
    <w:p>
      <w:pPr>
        <w:pStyle w:val="BodyText"/>
      </w:pPr>
      <w:r>
        <w:t xml:space="preserve">23.7%</w:t>
      </w:r>
    </w:p>
    <w:p>
      <w:pPr>
        <w:pStyle w:val="BodyText"/>
      </w:pPr>
      <w:r>
        <w:t xml:space="preserve">32,000</w:t>
      </w:r>
    </w:p>
    <w:p>
      <w:pPr>
        <w:pStyle w:val="BodyText"/>
      </w:pPr>
      <w:r>
        <w:t xml:space="preserve">Pediatric Dentistry (Children 3-15)</w:t>
      </w:r>
    </w:p>
    <w:p>
      <w:pPr>
        <w:pStyle w:val="BodyText"/>
      </w:pPr>
      <w:r>
        <w:t xml:space="preserve">Dentures &amp; Removable Prosthetics</w:t>
      </w:r>
    </w:p>
    <w:p>
      <w:pPr>
        <w:pStyle w:val="BodyText"/>
      </w:pPr>
      <w:r>
        <w:t xml:space="preserve">Emergency Care (Injuries, Pain Relief)</w:t>
      </w:r>
    </w:p>
    <w:p>
      <w:pPr>
        <w:pStyle w:val="BodyText"/>
      </w:pPr>
      <w:r>
        <w:t xml:space="preserve">Key observations from the Sales Report: Preventive care remained the strongest performer (38.2% of sales), aligning with Abidjan’s public health campaigns on oral hygiene. Cosmetic dentistry growth (+29% YoY) was driven by high-demand services like "Smile Makeovers," popular among young professionals in Abidjan's business districts. Implant procedures, though lower volume, generated the highest average revenue per unit (32,000 XOF), highlighting the profitability of advanced care in our market. Notably, pediatric dentistry grew by 15% due to targeted school partnerships initiated in Q4 2023.</w:t>
      </w:r>
    </w:p>
    <w:bookmarkEnd w:id="22"/>
    <w:bookmarkStart w:id="23" w:name="X8fd904e9757f6ac12fd6a0c52342286dac1b256"/>
    <w:p>
      <w:pPr>
        <w:pStyle w:val="Heading2"/>
      </w:pPr>
      <w:r>
        <w:t xml:space="preserve">IV. Regional Sales Trends &amp; Abidjan-Specific Insights</w:t>
      </w:r>
    </w:p>
    <w:p>
      <w:pPr>
        <w:pStyle w:val="FirstParagraph"/>
      </w:pPr>
      <w:r>
        <w:t xml:space="preserve">The Sales Report reveals distinct patterns within Abidjan's neighborhoods:</w:t>
      </w:r>
    </w:p>
    <w:p>
      <w:pPr>
        <w:numPr>
          <w:ilvl w:val="0"/>
          <w:numId w:val="1001"/>
        </w:numPr>
        <w:pStyle w:val="Compact"/>
      </w:pPr>
      <w:r>
        <w:rPr>
          <w:bCs/>
          <w:b/>
        </w:rPr>
        <w:t xml:space="preserve">Plateau &amp; Cocody:</w:t>
      </w:r>
      <w:r>
        <w:t xml:space="preserve"> </w:t>
      </w:r>
      <w:r>
        <w:t xml:space="preserve">68% of high-value procedures (implants, veneers) were booked here; patients show greater willingness to invest in aesthetics.</w:t>
      </w:r>
    </w:p>
    <w:p>
      <w:pPr>
        <w:numPr>
          <w:ilvl w:val="0"/>
          <w:numId w:val="1001"/>
        </w:numPr>
        <w:pStyle w:val="Compact"/>
      </w:pPr>
      <w:r>
        <w:rPr>
          <w:bCs/>
          <w:b/>
        </w:rPr>
        <w:t xml:space="preserve">Sakassou &amp; Anyama:</w:t>
      </w:r>
      <w:r>
        <w:t xml:space="preserve"> </w:t>
      </w:r>
      <w:r>
        <w:t xml:space="preserve">Preventive care dominated (72% of sales), reflecting affordability priorities in emerging residential zones.</w:t>
      </w:r>
    </w:p>
    <w:p>
      <w:pPr>
        <w:numPr>
          <w:ilvl w:val="0"/>
          <w:numId w:val="1001"/>
        </w:numPr>
        <w:pStyle w:val="Compact"/>
      </w:pPr>
      <w:r>
        <w:rPr>
          <w:bCs/>
          <w:b/>
        </w:rPr>
        <w:t xml:space="preserve">Market Saturation Alert:</w:t>
      </w:r>
      <w:r>
        <w:t xml:space="preserve"> </w:t>
      </w:r>
      <w:r>
        <w:t xml:space="preserve">Competitor practices (e.g., Dent'Abidjan) increased promotional offers by 40%, yet our practice retained market share through personalized service and mobile booking apps.</w:t>
      </w:r>
    </w:p>
    <w:bookmarkEnd w:id="23"/>
    <w:bookmarkStart w:id="24" w:name="X217d08bfc8e4671d8a6a3eb5dfc369906057311"/>
    <w:p>
      <w:pPr>
        <w:pStyle w:val="Heading2"/>
      </w:pPr>
      <w:r>
        <w:t xml:space="preserve">V. Challenges Impacting Sales Performance</w:t>
      </w:r>
    </w:p>
    <w:p>
      <w:pPr>
        <w:pStyle w:val="FirstParagraph"/>
      </w:pPr>
      <w:r>
        <w:t xml:space="preserve">The Q1 Sales Report identifies two critical challenges unique to operating a dentist practice in Ivory Coast Abidjan:</w:t>
      </w:r>
    </w:p>
    <w:p>
      <w:pPr>
        <w:numPr>
          <w:ilvl w:val="0"/>
          <w:numId w:val="1002"/>
        </w:numPr>
        <w:pStyle w:val="Compact"/>
      </w:pPr>
      <w:r>
        <w:rPr>
          <w:bCs/>
          <w:b/>
        </w:rPr>
        <w:t xml:space="preserve">Supply Chain Delays:</w:t>
      </w:r>
      <w:r>
        <w:t xml:space="preserve"> </w:t>
      </w:r>
      <w:r>
        <w:t xml:space="preserve">Critical dental materials (e.g., composite resins, implant kits) faced 3-4 week import delays due to port congestion at Abidjan’s Port of Vridi, directly impacting service capacity and patient satisfaction.</w:t>
      </w:r>
    </w:p>
    <w:p>
      <w:pPr>
        <w:numPr>
          <w:ilvl w:val="0"/>
          <w:numId w:val="1002"/>
        </w:numPr>
        <w:pStyle w:val="Compact"/>
      </w:pPr>
      <w:r>
        <w:rPr>
          <w:bCs/>
          <w:b/>
        </w:rPr>
        <w:t xml:space="preserve">Cultural Perceptions:</w:t>
      </w:r>
      <w:r>
        <w:t xml:space="preserve"> </w:t>
      </w:r>
      <w:r>
        <w:t xml:space="preserve">Initial resistance to preventive care in lower-income areas required tailored education. Our community workshops (held in 12 neighborhoods) increased check-up uptake by 22% in targeted zones.</w:t>
      </w:r>
    </w:p>
    <w:bookmarkEnd w:id="24"/>
    <w:bookmarkStart w:id="25" w:name="X7bd8906b3d4b41d5b66315fd0d2995c931a986b"/>
    <w:p>
      <w:pPr>
        <w:pStyle w:val="Heading2"/>
      </w:pPr>
      <w:r>
        <w:t xml:space="preserve">VI. Strategic Recommendations for Q2 2024</w:t>
      </w:r>
    </w:p>
    <w:p>
      <w:pPr>
        <w:pStyle w:val="FirstParagraph"/>
      </w:pPr>
      <w:r>
        <w:t xml:space="preserve">Based on the Sales Report data, we propose these actions to sustain growth:</w:t>
      </w:r>
    </w:p>
    <w:p>
      <w:pPr>
        <w:numPr>
          <w:ilvl w:val="0"/>
          <w:numId w:val="1003"/>
        </w:numPr>
        <w:pStyle w:val="Compact"/>
      </w:pPr>
      <w:r>
        <w:rPr>
          <w:bCs/>
          <w:b/>
        </w:rPr>
        <w:t xml:space="preserve">Localize Supply Chain:</w:t>
      </w:r>
      <w:r>
        <w:t xml:space="preserve"> </w:t>
      </w:r>
      <w:r>
        <w:t xml:space="preserve">Partner with Abidjan-based medical distributors (e.g., Pharmaco) to reduce import dependency and cut material lead times by 50%.</w:t>
      </w:r>
    </w:p>
    <w:p>
      <w:pPr>
        <w:numPr>
          <w:ilvl w:val="0"/>
          <w:numId w:val="1003"/>
        </w:numPr>
        <w:pStyle w:val="Compact"/>
      </w:pPr>
      <w:r>
        <w:rPr>
          <w:bCs/>
          <w:b/>
        </w:rPr>
        <w:t xml:space="preserve">Expand Preventive Outreach:</w:t>
      </w:r>
      <w:r>
        <w:t xml:space="preserve"> </w:t>
      </w:r>
      <w:r>
        <w:t xml:space="preserve">Launch "Abidjan Smile Campaign" offering subsidized cleanings for students/workers in public transport hubs (e.g., Gare Routière), targeting 200+ new patients monthly.</w:t>
      </w:r>
    </w:p>
    <w:p>
      <w:pPr>
        <w:numPr>
          <w:ilvl w:val="0"/>
          <w:numId w:val="1003"/>
        </w:numPr>
        <w:pStyle w:val="Compact"/>
      </w:pPr>
      <w:r>
        <w:rPr>
          <w:bCs/>
          <w:b/>
        </w:rPr>
        <w:t xml:space="preserve">Competitive Pricing Tiers:</w:t>
      </w:r>
      <w:r>
        <w:t xml:space="preserve"> </w:t>
      </w:r>
      <w:r>
        <w:t xml:space="preserve">Introduce a "Basic Care Package" (cleaning + X-ray) at 4,500 XOF to capture Sakassou/Anyama market segment without reducing profit margins.</w:t>
      </w:r>
    </w:p>
    <w:bookmarkEnd w:id="25"/>
    <w:bookmarkStart w:id="26" w:name="vii.-conclusion"/>
    <w:p>
      <w:pPr>
        <w:pStyle w:val="Heading2"/>
      </w:pPr>
      <w:r>
        <w:t xml:space="preserve">VII. Conclusion</w:t>
      </w:r>
    </w:p>
    <w:p>
      <w:pPr>
        <w:pStyle w:val="FirstParagraph"/>
      </w:pPr>
      <w:r>
        <w:t xml:space="preserve">The Q1 2024 Sales Report confirms that our dental practice in Abidjan is strategically positioned for leadership in Ivory Coast’s evolving oral healthcare sector. With Abidjan’s urban population growth (projected at 3.8% annually) and rising health consciousness, our focus on preventive care, cultural adaptability, and strategic pricing has driven exceptional results. Sustained success hinges on resolving supply chain bottlenecks while expanding access to underserved communities across the Ivory Coast capital. We project Q2 sales growth of 12-15%, with a target of 20,750,000 XOF by reinforcing these data-driven initiatives.</w:t>
      </w:r>
    </w:p>
    <w:p>
      <w:pPr>
        <w:pStyle w:val="BodyText"/>
      </w:pPr>
      <w:r>
        <w:rPr>
          <w:iCs/>
          <w:i/>
        </w:rPr>
        <w:t xml:space="preserve">This Sales Report for the Dentist Practice in Abidjan serves as a vital roadmap for optimizing operations and capitalizing on the Ivory Coast’s burgeoning dental market. All strategies prioritize patient-centric care within Abidjan’s unique socio-economic context to ensure long-term viability and community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Abidjan, Ivory Coast - Q1 2024 Performance</dc:title>
  <dc:creator/>
  <dc:language>en</dc:language>
  <cp:keywords/>
  <dcterms:created xsi:type="dcterms:W3CDTF">2025-12-15T19:51:57Z</dcterms:created>
  <dcterms:modified xsi:type="dcterms:W3CDTF">2025-12-15T19:51:57Z</dcterms:modified>
</cp:coreProperties>
</file>

<file path=docProps/custom.xml><?xml version="1.0" encoding="utf-8"?>
<Properties xmlns="http://schemas.openxmlformats.org/officeDocument/2006/custom-properties" xmlns:vt="http://schemas.openxmlformats.org/officeDocument/2006/docPropsVTypes"/>
</file>