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Dental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51b8b09f5c1cfeb8a7fc7a122420e04d580c5f7"/>
    <w:p>
      <w:pPr>
        <w:pStyle w:val="Heading1"/>
      </w:pPr>
      <w:r>
        <w:t xml:space="preserve">Comprehensive Sales Report for Amsterdam Dental Clinic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Netherlands Amsterdam Dental Association</w:t>
      </w:r>
    </w:p>
    <w:p>
      <w:pPr>
        <w:pStyle w:val="BodyText"/>
      </w:pPr>
      <w:r>
        <w:t xml:space="preserve">This official Sales Report details the performance metrics of our premier dental practice located in the heart of Amsterdam, Netherlands. As a leading dental service provider serving the diverse population of Amsterdam, we've achieved remarkable growth in patient acquisition and treatment volume while maintaining exceptional care standards. This document serves as a strategic blueprint for our continued success in the competitive Dutch dental market.</w:t>
      </w:r>
    </w:p>
    <w:bookmarkStart w:id="20" w:name="executive-summary"/>
    <w:p>
      <w:pPr>
        <w:pStyle w:val="Heading2"/>
      </w:pPr>
      <w:r>
        <w:t xml:space="preserve">Executive Summary</w:t>
      </w:r>
    </w:p>
    <w:p>
      <w:pPr>
        <w:pStyle w:val="FirstParagraph"/>
      </w:pPr>
      <w:r>
        <w:t xml:space="preserve">The third quarter of 2023 marked a transformative period for our Amsterdam-based dental practice, with total revenue reaching €187,500 – a 17.4% increase over Q2 and 31.8% year-over-year growth. This significant surge directly correlates with our targeted expansion within the Netherlands Amsterdam community, demonstrating strong market acceptance of our specialized services. The report confirms that strategic positioning as a patient-centric dental practice in the Dutch urban landscape has yielded exceptional results, establishing us as a reference point for modern dental care in Amsterdam.</w:t>
      </w:r>
    </w:p>
    <w:bookmarkEnd w:id="20"/>
    <w:bookmarkStart w:id="21" w:name="X5455e61ed8200049e07c000a45139ae928ce29f"/>
    <w:p>
      <w:pPr>
        <w:pStyle w:val="Heading2"/>
      </w:pPr>
      <w:r>
        <w:t xml:space="preserve">Performance Metrics: Sales Report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(Q3 vs Q2)</w:t>
            </w:r>
          </w:p>
        </w:tc>
      </w:tr>
      <w:tr>
        <w:tc>
          <w:tcPr/>
          <w:p>
            <w:pPr>
              <w:pStyle w:val="Compact"/>
              <w:jc w:val="left"/>
            </w:pPr>
            <w:r>
              <w:t xml:space="preserve">Total Revenue (€)</w:t>
            </w:r>
          </w:p>
        </w:tc>
        <w:tc>
          <w:tcPr/>
          <w:p>
            <w:pPr>
              <w:pStyle w:val="Compact"/>
              <w:jc w:val="left"/>
            </w:pPr>
            <w:r>
              <w:t xml:space="preserve">187,500</w:t>
            </w:r>
          </w:p>
        </w:tc>
        <w:tc>
          <w:tcPr/>
          <w:p>
            <w:pPr>
              <w:pStyle w:val="Compact"/>
              <w:jc w:val="left"/>
            </w:pPr>
            <w:r>
              <w:t xml:space="preserve">160,500</w:t>
            </w:r>
          </w:p>
        </w:tc>
        <w:tc>
          <w:tcPr/>
          <w:p>
            <w:pPr>
              <w:pStyle w:val="Compact"/>
              <w:jc w:val="left"/>
            </w:pPr>
            <w:r>
              <w:t xml:space="preserve">+17.4%</w:t>
            </w:r>
          </w:p>
        </w:tc>
      </w:tr>
      <w:tr>
        <w:tc>
          <w:tcPr/>
          <w:p>
            <w:pPr>
              <w:pStyle w:val="Compact"/>
              <w:jc w:val="left"/>
            </w:pPr>
            <w:r>
              <w:t xml:space="preserve">New Patient Acquisitions</w:t>
            </w:r>
          </w:p>
        </w:tc>
        <w:tc>
          <w:tcPr/>
          <w:p>
            <w:pPr>
              <w:pStyle w:val="Compact"/>
              <w:jc w:val="left"/>
            </w:pPr>
            <w:r>
              <w:t xml:space="preserve">234</w:t>
            </w:r>
          </w:p>
        </w:tc>
        <w:tc>
          <w:tcPr/>
          <w:p>
            <w:pPr>
              <w:pStyle w:val="Compact"/>
              <w:jc w:val="left"/>
            </w:pPr>
            <w:r>
              <w:t xml:space="preserve">187</w:t>
            </w:r>
          </w:p>
        </w:tc>
        <w:tc>
          <w:tcPr/>
          <w:p>
            <w:pPr>
              <w:pStyle w:val="Compact"/>
              <w:jc w:val="left"/>
            </w:pPr>
            <w:r>
              <w:t xml:space="preserve">+25.1%</w:t>
            </w:r>
          </w:p>
        </w:tc>
      </w:tr>
      <w:tr>
        <w:tc>
          <w:tcPr/>
          <w:p>
            <w:pPr>
              <w:pStyle w:val="Compact"/>
              <w:jc w:val="left"/>
            </w:pPr>
            <w:r>
              <w:t xml:space="preserve">Average Treatment Value (€)</w:t>
            </w:r>
          </w:p>
        </w:tc>
        <w:tc>
          <w:tcPr/>
          <w:p>
            <w:pPr>
              <w:pStyle w:val="Compact"/>
              <w:jc w:val="left"/>
            </w:pPr>
            <w:r>
              <w:t xml:space="preserve">680</w:t>
            </w:r>
          </w:p>
        </w:tc>
        <w:tc>
          <w:tcPr/>
          <w:p>
            <w:pPr>
              <w:pStyle w:val="Compact"/>
              <w:jc w:val="left"/>
            </w:pPr>
            <w:r>
              <w:t xml:space="preserve">635</w:t>
            </w:r>
          </w:p>
        </w:tc>
        <w:tc>
          <w:tcPr/>
          <w:p>
            <w:pPr>
              <w:pStyle w:val="Compact"/>
              <w:jc w:val="left"/>
            </w:pPr>
            <w:r>
              <w:t xml:space="preserve">+7.1%</w:t>
            </w:r>
          </w:p>
        </w:tc>
      </w:tr>
      <w:tr>
        <w:tc>
          <w:tcPr/>
          <w:p>
            <w:pPr>
              <w:pStyle w:val="Compact"/>
              <w:jc w:val="left"/>
            </w:pPr>
            <w:r>
              <w:t xml:space="preserve">Patient Retention Rate</w:t>
            </w:r>
          </w:p>
        </w:tc>
        <w:tc>
          <w:tcPr/>
          <w:p>
            <w:pPr>
              <w:pStyle w:val="Compact"/>
              <w:jc w:val="left"/>
            </w:pPr>
            <w:r>
              <w:t xml:space="preserve">89.2%</w:t>
            </w:r>
          </w:p>
        </w:tc>
        <w:tc>
          <w:tcPr/>
          <w:p>
            <w:pPr>
              <w:pStyle w:val="Compact"/>
              <w:jc w:val="left"/>
            </w:pPr>
            <w:r>
              <w:t xml:space="preserve">84.5%</w:t>
            </w:r>
          </w:p>
        </w:tc>
        <w:tc>
          <w:tcPr/>
          <w:p>
            <w:pPr>
              <w:pStyle w:val="Compact"/>
              <w:jc w:val="left"/>
            </w:pPr>
            <w:r>
              <w:t xml:space="preserve">+4.7 pts</w:t>
            </w:r>
          </w:p>
        </w:tc>
      </w:tr>
      <w:tr>
        <w:tc>
          <w:tcPr/>
          <w:p>
            <w:pPr>
              <w:pStyle w:val="Compact"/>
              <w:jc w:val="left"/>
            </w:pPr>
            <w:r>
              <w:t xml:space="preserve">Total Procedures</w:t>
            </w:r>
          </w:p>
        </w:tc>
        <w:tc>
          <w:tcPr/>
          <w:p>
            <w:pPr>
              <w:pStyle w:val="Compact"/>
              <w:jc w:val="left"/>
            </w:pPr>
            <w:r>
              <w:t xml:space="preserve">352</w:t>
            </w:r>
          </w:p>
        </w:tc>
        <w:tc>
          <w:tcPr/>
          <w:p>
            <w:pPr>
              <w:pStyle w:val="Compact"/>
              <w:jc w:val="left"/>
            </w:pPr>
            <w:r>
              <w:t xml:space="preserve">306</w:t>
            </w:r>
          </w:p>
        </w:tc>
        <w:tc>
          <w:tcPr/>
          <w:p>
            <w:pPr>
              <w:pStyle w:val="Compact"/>
              <w:jc w:val="left"/>
            </w:pPr>
            <w:r>
              <w:t xml:space="preserve">+15.0%</w:t>
            </w:r>
          </w:p>
        </w:tc>
      </w:tr>
    </w:tbl>
    <w:bookmarkEnd w:id="21"/>
    <w:bookmarkStart w:id="22" w:name="X7c2a4cdef6b789ac433014cb3406319816a54c1"/>
    <w:p>
      <w:pPr>
        <w:pStyle w:val="Heading2"/>
      </w:pPr>
      <w:r>
        <w:t xml:space="preserve">Market Context: Why Netherlands Amsterdam is Ideal for Dental Growth</w:t>
      </w:r>
    </w:p>
    <w:p>
      <w:pPr>
        <w:pStyle w:val="FirstParagraph"/>
      </w:pPr>
      <w:r>
        <w:t xml:space="preserve">The Dutch dental market in Amsterdam presents exceptional opportunities due to several unique factors. With a population exceeding 900,000 and the city ranking among Europe's top destinations for international professionals, our clinic strategically positioned within walking distance of major business districts (Zuidas) and cultural hubs (Jordaan) has created natural patient flow. The Netherlands' universal healthcare system emphasizes preventive care – with 78% of residents visiting a dentist annually according to RIVM data – creating sustained demand for our services. Moreover, Amsterdam's high disposable income levels (average household income €54,200) enables premium dental treatments that drive our revenue growth.</w:t>
      </w:r>
    </w:p>
    <w:bookmarkEnd w:id="22"/>
    <w:bookmarkStart w:id="23" w:name="X0bb8490e23322a72569b41ea3191b44c0b63656"/>
    <w:p>
      <w:pPr>
        <w:pStyle w:val="Heading2"/>
      </w:pPr>
      <w:r>
        <w:t xml:space="preserve">Key Sales Drivers in Netherlands Amsterdam</w:t>
      </w:r>
    </w:p>
    <w:p>
      <w:pPr>
        <w:pStyle w:val="FirstParagraph"/>
      </w:pPr>
      <w:r>
        <w:t xml:space="preserve">Our sales strategy has successfully leveraged the specific dynamics of the Netherlands Amsterdam market. First, we've optimized our digital presence through localized Google Ads targeting "dentist amsterdam" with Dutch-language keywords, resulting in 42% of new patients coming from online channels – a 28% increase from Q2. Second, we formed strategic partnerships with international relocation agencies serving Amsterdam's expatriate community (accounting for 35% of our new patients), providing seamless dental integration services. Third, our premium "Amsterdam Dental Package" offering comprehensive care at €1,990 (including 3D scans and follow-up) has become our most popular service line with a 67% uptake rate among new patients.</w:t>
      </w:r>
    </w:p>
    <w:bookmarkEnd w:id="23"/>
    <w:bookmarkStart w:id="24" w:name="Xab10d250bbe6f9ce09cc9730b7fb7384512c72d"/>
    <w:p>
      <w:pPr>
        <w:pStyle w:val="Heading2"/>
      </w:pPr>
      <w:r>
        <w:t xml:space="preserve">Patient Demographics: Amsterdam's Diverse Market</w:t>
      </w:r>
    </w:p>
    <w:p>
      <w:pPr>
        <w:pStyle w:val="FirstParagraph"/>
      </w:pPr>
      <w:r>
        <w:t xml:space="preserve">Our patient base in Netherlands Amsterdam reflects the city's cosmopolitan nature:</w:t>
      </w:r>
    </w:p>
    <w:p>
      <w:pPr>
        <w:numPr>
          <w:ilvl w:val="0"/>
          <w:numId w:val="1001"/>
        </w:numPr>
        <w:pStyle w:val="Compact"/>
      </w:pPr>
      <w:r>
        <w:rPr>
          <w:bCs/>
          <w:b/>
        </w:rPr>
        <w:t xml:space="preserve">38% Dutch residents</w:t>
      </w:r>
      <w:r>
        <w:t xml:space="preserve"> </w:t>
      </w:r>
      <w:r>
        <w:t xml:space="preserve">– Primarily aged 30-55 with established insurance coverage (AVT, IKC)</w:t>
      </w:r>
    </w:p>
    <w:p>
      <w:pPr>
        <w:numPr>
          <w:ilvl w:val="0"/>
          <w:numId w:val="1001"/>
        </w:numPr>
        <w:pStyle w:val="Compact"/>
      </w:pPr>
      <w:r>
        <w:rPr>
          <w:bCs/>
          <w:b/>
        </w:rPr>
        <w:t xml:space="preserve">42% International patients</w:t>
      </w:r>
      <w:r>
        <w:t xml:space="preserve"> </w:t>
      </w:r>
      <w:r>
        <w:t xml:space="preserve">– Including German, American, and Scandinavian expatriates working in Amsterdam's business districts</w:t>
      </w:r>
    </w:p>
    <w:p>
      <w:pPr>
        <w:numPr>
          <w:ilvl w:val="0"/>
          <w:numId w:val="1001"/>
        </w:numPr>
        <w:pStyle w:val="Compact"/>
      </w:pPr>
      <w:r>
        <w:rPr>
          <w:bCs/>
          <w:b/>
        </w:rPr>
        <w:t xml:space="preserve">20% Premium Care segment</w:t>
      </w:r>
      <w:r>
        <w:t xml:space="preserve"> </w:t>
      </w:r>
      <w:r>
        <w:t xml:space="preserve">– High-net-worth individuals seeking cosmetic dentistry (veneers, implants) at 35% above average treatment value</w:t>
      </w:r>
    </w:p>
    <w:p>
      <w:pPr>
        <w:pStyle w:val="FirstParagraph"/>
      </w:pPr>
      <w:r>
        <w:t xml:space="preserve">This diverse demographic has allowed us to create specialized service streams within our Amsterdam dental practice that cater to both routine and premium care needs, maximizing revenue per patient while maintaining the Netherlands' high standards of dental care.</w:t>
      </w:r>
    </w:p>
    <w:bookmarkEnd w:id="24"/>
    <w:bookmarkStart w:id="25" w:name="X201e8db08491b2b0135cd4bbb5a455ce3835cef"/>
    <w:p>
      <w:pPr>
        <w:pStyle w:val="Heading2"/>
      </w:pPr>
      <w:r>
        <w:t xml:space="preserve">Marketing Effectiveness: Driving Dental Sales in Amsterdam</w:t>
      </w:r>
    </w:p>
    <w:p>
      <w:pPr>
        <w:pStyle w:val="FirstParagraph"/>
      </w:pPr>
      <w:r>
        <w:t xml:space="preserve">Our Q3 marketing initiatives yielded exceptional results in the competitive Amsterdam market. The "Amsterdam Smile Guarantee" referral program generated 148 new patients (72% retention) by offering free check-ups to existing patients who referred friends – a strategy particularly effective with Dutch cultural emphasis on trust-based recommendations. Additionally, our partnership with Amsterdam's international school network provided on-site dental education sessions, resulting in 63 new patient contracts from the education sector alone. The most significant catalyst was our social media campaign targeting "dental tourism" in Amsterdam, leveraging the city's global reputation as a tourist destination – this brought 47% of our international patients to our practice.</w:t>
      </w:r>
    </w:p>
    <w:bookmarkEnd w:id="25"/>
    <w:bookmarkStart w:id="26" w:name="challenges-and-strategic-solutions"/>
    <w:p>
      <w:pPr>
        <w:pStyle w:val="Heading2"/>
      </w:pPr>
      <w:r>
        <w:t xml:space="preserve">Challenges and Strategic Solutions</w:t>
      </w:r>
    </w:p>
    <w:p>
      <w:pPr>
        <w:pStyle w:val="FirstParagraph"/>
      </w:pPr>
      <w:r>
        <w:t xml:space="preserve">Despite strong performance, we faced significant challenges unique to operating a dental practice in Netherlands Amsterdam. The primary issue was seasonal patient volume dips during summer months (July-August), which we addressed through our "Amsterdam Summer Care Package" offering discounted whitening treatments to fill off-peak slots. Another challenge was insurance complexity – with 12 major Dutch dental insurers – which we resolved by developing an in-house claims specialist trained specifically in Netherlands' insurance protocols, reducing billing delays by 63%. We also implemented a multilingual appointment system (Dutch, English, German) to better serve Amsterdam's international community.</w:t>
      </w:r>
    </w:p>
    <w:bookmarkEnd w:id="26"/>
    <w:bookmarkStart w:id="27" w:name="X632c7aca6bbcbc269f8aea8e82566f0e459eec0"/>
    <w:p>
      <w:pPr>
        <w:pStyle w:val="Heading2"/>
      </w:pPr>
      <w:r>
        <w:t xml:space="preserve">Future Outlook: Strategic Growth for Dutch Dental Practice</w:t>
      </w:r>
    </w:p>
    <w:p>
      <w:pPr>
        <w:pStyle w:val="FirstParagraph"/>
      </w:pPr>
      <w:r>
        <w:t xml:space="preserve">Based on Q3 performance data and Amsterdam's market trajectory, we project 24% annual revenue growth for 2024. Our strategic roadmap includes expanding into adjacent neighborhoods (Oud-Zuid, De Pijp) with satellite clinics while maintaining our flagship location in central Amsterdam. We're also developing a specialized "Dental Wellness" program targeting Amsterdam's health-conscious demographic – integrating nutrition counseling with dental care as part of the Netherlands' growing preventive healthcare trend. Crucially, we've allocated 15% of Q3 revenue to upgrading our practice with the latest Dutch-certified dental technology, positioning us to capture higher-value treatments that align with Amsterdam's premium market expectations.</w:t>
      </w:r>
    </w:p>
    <w:bookmarkEnd w:id="27"/>
    <w:bookmarkStart w:id="28" w:name="X966e6589db362a505989e19f6a5f8248c4989ce"/>
    <w:p>
      <w:pPr>
        <w:pStyle w:val="Heading2"/>
      </w:pPr>
      <w:r>
        <w:t xml:space="preserve">Conclusion: Setting New Standards in Amsterdam Dentistry</w:t>
      </w:r>
    </w:p>
    <w:p>
      <w:pPr>
        <w:pStyle w:val="FirstParagraph"/>
      </w:pPr>
      <w:r>
        <w:t xml:space="preserve">This Sales Report confirms that our dentist practice has become a benchmark for excellence within the Netherlands Amsterdam dental sector. The 31.8% year-over-year revenue growth demonstrates not just operational success, but deep market integration – we've moved beyond simply being a dentist clinic to becoming an integral part of Amsterdam's healthcare ecosystem. Our strategic focus on understanding Dutch patient expectations, leveraging Amsterdam's unique urban dynamics, and delivering value that exceeds local standards has positioned us for sustained leadership in the Netherlands' dental services market. As the premier dental practice serving Netherlands Amsterdam, we commit to continuing this trajectory through innovation while maintaining our unwavering dedication to patient-centered care that defines modern dentistry in the Dutch capital.</w:t>
      </w:r>
    </w:p>
    <w:p>
      <w:pPr>
        <w:pStyle w:val="BodyText"/>
      </w:pPr>
      <w:r>
        <w:rPr>
          <w:bCs/>
          <w:b/>
        </w:rPr>
        <w:t xml:space="preserve">Prepared by:</w:t>
      </w:r>
      <w:r>
        <w:t xml:space="preserve"> </w:t>
      </w:r>
      <w:r>
        <w:t xml:space="preserve">Maria Jansen, Practice Manager</w:t>
      </w:r>
      <w:r>
        <w:br/>
      </w:r>
      <w:r>
        <w:rPr>
          <w:bCs/>
          <w:b/>
        </w:rPr>
        <w:t xml:space="preserve">Dental Practice:</w:t>
      </w:r>
      <w:r>
        <w:t xml:space="preserve"> </w:t>
      </w:r>
      <w:r>
        <w:t xml:space="preserve">Amstel Dental Center |</w:t>
      </w:r>
      <w:r>
        <w:t xml:space="preserve"> </w:t>
      </w:r>
      <w:r>
        <w:rPr>
          <w:bCs/>
          <w:b/>
        </w:rPr>
        <w:t xml:space="preserve">Location:</w:t>
      </w:r>
      <w:r>
        <w:t xml:space="preserve"> </w:t>
      </w:r>
      <w:r>
        <w:t xml:space="preserve">Amsterdam Centrum, Netherlands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Dental Sales Report - Q3 2023</dc:title>
  <dc:creator/>
  <dc:language>en</dc:language>
  <cp:keywords/>
  <dcterms:created xsi:type="dcterms:W3CDTF">2026-07-24T02:13:34Z</dcterms:created>
  <dcterms:modified xsi:type="dcterms:W3CDTF">2026-07-24T02:13:34Z</dcterms:modified>
</cp:coreProperties>
</file>

<file path=docProps/custom.xml><?xml version="1.0" encoding="utf-8"?>
<Properties xmlns="http://schemas.openxmlformats.org/officeDocument/2006/custom-properties" xmlns:vt="http://schemas.openxmlformats.org/officeDocument/2006/docPropsVTypes"/>
</file>