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Dental</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dc46a6ad80489be1d0b4683962f588f12bea301"/>
    <w:p>
      <w:pPr>
        <w:pStyle w:val="Heading1"/>
      </w:pPr>
      <w:r>
        <w:t xml:space="preserve">Comprehensive Sales Report: Dentist Practice Performance Analysis -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Clinic Leadership</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premier dental practice in Lima, Peru during Q3 2023. The report demonstrates a significant 18.7% year-over-year increase in patient volume and a 14.2% growth in total revenue, solidifying our position as a leading</w:t>
      </w:r>
      <w:r>
        <w:t xml:space="preserve"> </w:t>
      </w:r>
      <w:r>
        <w:rPr>
          <w:iCs/>
          <w:i/>
        </w:rPr>
        <w:t xml:space="preserve">Dentist</w:t>
      </w:r>
      <w:r>
        <w:t xml:space="preserve"> </w:t>
      </w:r>
      <w:r>
        <w:t xml:space="preserve">service provider within the</w:t>
      </w:r>
      <w:r>
        <w:t xml:space="preserve"> </w:t>
      </w:r>
      <w:r>
        <w:rPr>
          <w:bCs/>
          <w:b/>
        </w:rPr>
        <w:t xml:space="preserve">Peru Lima</w:t>
      </w:r>
      <w:r>
        <w:t xml:space="preserve"> </w:t>
      </w:r>
      <w:r>
        <w:t xml:space="preserve">market. Key drivers include expanded cosmetic dentistry services, strategic partnerships with local tourism agencies, and enhanced digital marketing efforts targeting upscale neighborhoods like Miraflores and San Isidro. This performance exceeds our Q3 2023 targets by 7.3% and reflects strong consumer confidence in our high-quality, patient-centered care model within the vibrant urban landscape of</w:t>
      </w:r>
      <w:r>
        <w:t xml:space="preserve"> </w:t>
      </w:r>
      <w:r>
        <w:rPr>
          <w:bCs/>
          <w:b/>
        </w:rPr>
        <w:t xml:space="preserve">Peru Lima</w:t>
      </w:r>
      <w:r>
        <w:t xml:space="preserve">.</w:t>
      </w:r>
    </w:p>
    <w:bookmarkEnd w:id="20"/>
    <w:bookmarkStart w:id="21" w:name="Xc4f05eb1d32bab8aaded8e708f2c416597d29de"/>
    <w:p>
      <w:pPr>
        <w:pStyle w:val="Heading2"/>
      </w:pPr>
      <w:r>
        <w:t xml:space="preserve">II. Key Performance Metrics (Q3 2023 vs. Q3 2022)</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Patient Visits (Total)</w:t>
      </w:r>
    </w:p>
    <w:p>
      <w:pPr>
        <w:pStyle w:val="BodyText"/>
      </w:pPr>
      <w:r>
        <w:t xml:space="preserve">1,485</w:t>
      </w:r>
    </w:p>
    <w:p>
      <w:pPr>
        <w:pStyle w:val="BodyText"/>
      </w:pPr>
      <w:r>
        <w:t xml:space="preserve">1,250</w:t>
      </w:r>
    </w:p>
    <w:p>
      <w:pPr>
        <w:pStyle w:val="BodyText"/>
      </w:pPr>
      <w:r>
        <w:t xml:space="preserve">+18.7%</w:t>
      </w:r>
    </w:p>
    <w:p>
      <w:pPr>
        <w:pStyle w:val="BodyText"/>
      </w:pPr>
      <w:r>
        <w:t xml:space="preserve">Total Revenue (Peruvian Soles - S/.)</w:t>
      </w:r>
    </w:p>
    <w:p>
      <w:pPr>
        <w:pStyle w:val="BodyText"/>
      </w:pPr>
      <w:r>
        <w:t xml:space="preserve">S/. 428,500</w:t>
      </w:r>
    </w:p>
    <w:p>
      <w:pPr>
        <w:pStyle w:val="BodyText"/>
      </w:pPr>
      <w:r>
        <w:t xml:space="preserve">S/. 375,200</w:t>
      </w:r>
    </w:p>
    <w:p>
      <w:pPr>
        <w:pStyle w:val="BodyText"/>
      </w:pPr>
      <w:r>
        <w:t xml:space="preserve">+14.2%</w:t>
      </w:r>
    </w:p>
    <w:p>
      <w:pPr>
        <w:pStyle w:val="BodyText"/>
      </w:pPr>
      <w:r>
        <w:t xml:space="preserve">Average Transaction Value (ATV)</w:t>
      </w:r>
    </w:p>
    <w:p>
      <w:pPr>
        <w:pStyle w:val="BodyText"/>
      </w:pPr>
      <w:r>
        <w:t xml:space="preserve">S/. 288.6</w:t>
      </w:r>
    </w:p>
    <w:p>
      <w:pPr>
        <w:pStyle w:val="BodyText"/>
      </w:pPr>
      <w:r>
        <w:t xml:space="preserve">S/. 300.1</w:t>
      </w:r>
    </w:p>
    <w:p>
      <w:pPr>
        <w:pStyle w:val="BodyText"/>
      </w:pPr>
      <w:r>
        <w:t xml:space="preserve">-3.8%</w:t>
      </w:r>
    </w:p>
    <w:p>
      <w:pPr>
        <w:pStyle w:val="BodyText"/>
      </w:pPr>
      <w:r>
        <w:t xml:space="preserve">New Patient Acquisitions</w:t>
      </w:r>
    </w:p>
    <w:p>
      <w:pPr>
        <w:pStyle w:val="BodyText"/>
      </w:pPr>
      <w:r>
        <w:t xml:space="preserve">512419</w:t>
      </w:r>
    </w:p>
    <w:p>
      <w:pPr>
        <w:pStyle w:val="BodyText"/>
      </w:pPr>
      <w:r>
        <w:t xml:space="preserve">Total Revenue Growth (YoY)</w:t>
      </w:r>
    </w:p>
    <w:p>
      <w:pPr>
        <w:pStyle w:val="BodyText"/>
      </w:pPr>
      <w:r>
        <w:t xml:space="preserve">S/. 53,300</w:t>
      </w:r>
    </w:p>
    <w:p>
      <w:pPr>
        <w:pStyle w:val="BodyText"/>
      </w:pPr>
      <w:r>
        <w:t xml:space="preserve">-</w:t>
      </w:r>
    </w:p>
    <w:p>
      <w:pPr>
        <w:pStyle w:val="BodyText"/>
      </w:pPr>
      <w:r>
        <w:t xml:space="preserve">+14.2%</w:t>
      </w:r>
    </w:p>
    <w:bookmarkEnd w:id="21"/>
    <w:bookmarkStart w:id="22" w:name="X8a1cf7afd78b7b39d8c489b650cef701528112b"/>
    <w:p>
      <w:pPr>
        <w:pStyle w:val="Heading2"/>
      </w:pPr>
      <w:r>
        <w:t xml:space="preserve">III. Service Line Sales Breakdown (Q3 2023)</w:t>
      </w:r>
    </w:p>
    <w:p>
      <w:pPr>
        <w:pStyle w:val="FirstParagraph"/>
      </w:pPr>
      <w:r>
        <w:t xml:space="preserve">The revenue composition highlights strategic growth in high-demand services, directly aligning with patient needs in the</w:t>
      </w:r>
      <w:r>
        <w:t xml:space="preserve"> </w:t>
      </w:r>
      <w:r>
        <w:rPr>
          <w:bCs/>
          <w:b/>
        </w:rPr>
        <w:t xml:space="preserve">Peru Lima</w:t>
      </w:r>
      <w:r>
        <w:t xml:space="preserve"> </w:t>
      </w:r>
      <w:r>
        <w:t xml:space="preserve">demographic:</w:t>
      </w:r>
    </w:p>
    <w:p>
      <w:pPr>
        <w:numPr>
          <w:ilvl w:val="0"/>
          <w:numId w:val="1001"/>
        </w:numPr>
        <w:pStyle w:val="Compact"/>
      </w:pPr>
      <w:r>
        <w:rPr>
          <w:bCs/>
          <w:b/>
        </w:rPr>
        <w:t xml:space="preserve">Cosmetic Dentistry (28% of Revenue):</w:t>
      </w:r>
      <w:r>
        <w:t xml:space="preserve"> </w:t>
      </w:r>
      <w:r>
        <w:t xml:space="preserve">Significant 32.1% YoY growth driven by increased demand for Invisalign® and porcelain veneers. Key markets include expatriate communities and high-income residents in Miraflores, reflecting Lima's growing emphasis on aesthetic dental care.</w:t>
      </w:r>
    </w:p>
    <w:p>
      <w:pPr>
        <w:numPr>
          <w:ilvl w:val="0"/>
          <w:numId w:val="1001"/>
        </w:numPr>
        <w:pStyle w:val="Compact"/>
      </w:pPr>
      <w:r>
        <w:rPr>
          <w:bCs/>
          <w:b/>
        </w:rPr>
        <w:t xml:space="preserve">Dental Implants (25% of Revenue):</w:t>
      </w:r>
      <w:r>
        <w:t xml:space="preserve"> </w:t>
      </w:r>
      <w:r>
        <w:t xml:space="preserve">Strong performance (+24.6% YoY), supported by our partnership with the Lima Dental Association and targeted social media campaigns highlighting cost-effective solutions for local professionals.</w:t>
      </w:r>
    </w:p>
    <w:p>
      <w:pPr>
        <w:numPr>
          <w:ilvl w:val="0"/>
          <w:numId w:val="1001"/>
        </w:numPr>
        <w:pStyle w:val="Compact"/>
      </w:pPr>
      <w:r>
        <w:rPr>
          <w:bCs/>
          <w:b/>
        </w:rPr>
        <w:t xml:space="preserve">Pediatric Dentistry (15% of Revenue):</w:t>
      </w:r>
      <w:r>
        <w:t xml:space="preserve"> </w:t>
      </w:r>
      <w:r>
        <w:t xml:space="preserve">Sustained 12.3% growth, attributed to successful school outreach programs in public institutions across Comas and Ate-Vitarte districts.</w:t>
      </w:r>
    </w:p>
    <w:p>
      <w:pPr>
        <w:numPr>
          <w:ilvl w:val="0"/>
          <w:numId w:val="1001"/>
        </w:numPr>
        <w:pStyle w:val="Compact"/>
      </w:pPr>
      <w:r>
        <w:rPr>
          <w:bCs/>
          <w:b/>
        </w:rPr>
        <w:t xml:space="preserve">General Preventive Care (22% of Revenue):</w:t>
      </w:r>
      <w:r>
        <w:t xml:space="preserve"> </w:t>
      </w:r>
      <w:r>
        <w:t xml:space="preserve">Steady 6.8% growth, maintaining our core service offering with increased focus on fluoride treatments and early orthodontic screenings for children.</w:t>
      </w:r>
    </w:p>
    <w:p>
      <w:pPr>
        <w:numPr>
          <w:ilvl w:val="0"/>
          <w:numId w:val="1001"/>
        </w:numPr>
        <w:pStyle w:val="Compact"/>
      </w:pPr>
      <w:r>
        <w:rPr>
          <w:bCs/>
          <w:b/>
        </w:rPr>
        <w:t xml:space="preserve">Emergency Services (10% of Revenue):</w:t>
      </w:r>
      <w:r>
        <w:t xml:space="preserve"> </w:t>
      </w:r>
      <w:r>
        <w:t xml:space="preserve">Notable 19.4% rise, correlating with the peak tourism season in Lima and heightened patient awareness of urgent care availability.</w:t>
      </w:r>
    </w:p>
    <w:bookmarkEnd w:id="22"/>
    <w:bookmarkStart w:id="23" w:name="X5fbc17796a20cea8d9b8109f9cd9b3eff01cf7d"/>
    <w:p>
      <w:pPr>
        <w:pStyle w:val="Heading2"/>
      </w:pPr>
      <w:r>
        <w:t xml:space="preserve">IV. Market Analysis: Dentist Landscape in Peru Lima</w:t>
      </w:r>
    </w:p>
    <w:p>
      <w:pPr>
        <w:pStyle w:val="FirstParagraph"/>
      </w:pPr>
      <w:r>
        <w:t xml:space="preserve">The success of our</w:t>
      </w:r>
      <w:r>
        <w:t xml:space="preserve"> </w:t>
      </w:r>
      <w:r>
        <w:rPr>
          <w:iCs/>
          <w:i/>
        </w:rPr>
        <w:t xml:space="preserve">Dentist</w:t>
      </w:r>
      <w:r>
        <w:t xml:space="preserve"> </w:t>
      </w:r>
      <w:r>
        <w:t xml:space="preserve">practice is deeply rooted in understanding the unique dynamics of the</w:t>
      </w:r>
      <w:r>
        <w:t xml:space="preserve"> </w:t>
      </w:r>
      <w:r>
        <w:rPr>
          <w:bCs/>
          <w:b/>
        </w:rPr>
        <w:t xml:space="preserve">Peru Lima</w:t>
      </w:r>
      <w:r>
        <w:t xml:space="preserve"> </w:t>
      </w:r>
      <w:r>
        <w:t xml:space="preserve">market:</w:t>
      </w:r>
    </w:p>
    <w:p>
      <w:pPr>
        <w:pStyle w:val="BodyText"/>
      </w:pPr>
      <w:r>
        <w:rPr>
          <w:bCs/>
          <w:b/>
        </w:rPr>
        <w:t xml:space="preserve">Economic Context:</w:t>
      </w:r>
      <w:r>
        <w:t xml:space="preserve"> </w:t>
      </w:r>
      <w:r>
        <w:t xml:space="preserve">Lima's economy, accounting for over 40% of Peru's GDP, supports higher discretionary spending on healthcare. Rising middle-class affluence (particularly in districts like San Isidro and Barranco) has created a larger target demographic for premium dental services compared to national averages.</w:t>
      </w:r>
    </w:p>
    <w:p>
      <w:pPr>
        <w:pStyle w:val="BodyText"/>
      </w:pPr>
      <w:r>
        <w:rPr>
          <w:bCs/>
          <w:b/>
        </w:rPr>
        <w:t xml:space="preserve">Competitive Positioning:</w:t>
      </w:r>
      <w:r>
        <w:t xml:space="preserve"> </w:t>
      </w:r>
      <w:r>
        <w:t xml:space="preserve">While Lima hosts numerous dental clinics, our focus on technology (digital x-rays, 3D imaging), multilingual staff (Spanish, English, Portuguese), and seamless patient experience sets us apart. Our Q3 patient satisfaction score of 94.7% significantly outperforms the Lima industry average of 86.2%.</w:t>
      </w:r>
    </w:p>
    <w:p>
      <w:pPr>
        <w:pStyle w:val="BodyText"/>
      </w:pPr>
      <w:r>
        <w:rPr>
          <w:bCs/>
          <w:b/>
        </w:rPr>
        <w:t xml:space="preserve">Tourism Impact:</w:t>
      </w:r>
      <w:r>
        <w:t xml:space="preserve"> </w:t>
      </w:r>
      <w:r>
        <w:t xml:space="preserve">As a major tourist destination, Lima attracts visitors seeking high-quality dental care (often referred by travel agencies). We captured an estimated 15% of our Q3 new patient base from international visitors, contributing substantially to our revenue growth. This underscores the strategic value of maintaining tourism-focused marketing partnerships.</w:t>
      </w:r>
    </w:p>
    <w:p>
      <w:pPr>
        <w:pStyle w:val="BodyText"/>
      </w:pPr>
      <w:r>
        <w:rPr>
          <w:bCs/>
          <w:b/>
        </w:rPr>
        <w:t xml:space="preserve">Healthcare Trends:</w:t>
      </w:r>
      <w:r>
        <w:t xml:space="preserve"> </w:t>
      </w:r>
      <w:r>
        <w:t xml:space="preserve">Increased awareness of oral-systemic health links and government initiatives promoting dental hygiene (e.g., "Dentistry for All" campaigns by Municipalidad de Lima) have boosted demand across all service lines. Our practice actively participates in these community programs to build trust.</w:t>
      </w:r>
    </w:p>
    <w:bookmarkEnd w:id="23"/>
    <w:bookmarkStart w:id="24" w:name="v.-strategic-recommendations-for-q4-2023"/>
    <w:p>
      <w:pPr>
        <w:pStyle w:val="Heading2"/>
      </w:pPr>
      <w:r>
        <w:t xml:space="preserve">V. Strategic Recommendations for Q4 2023</w:t>
      </w:r>
    </w:p>
    <w:p>
      <w:pPr>
        <w:pStyle w:val="FirstParagraph"/>
      </w:pPr>
      <w:r>
        <w:t xml:space="preserve">To sustain and accelerate growth, we recommend the following actions based on this Sales Report:</w:t>
      </w:r>
    </w:p>
    <w:p>
      <w:pPr>
        <w:numPr>
          <w:ilvl w:val="0"/>
          <w:numId w:val="1002"/>
        </w:numPr>
        <w:pStyle w:val="Compact"/>
      </w:pPr>
      <w:r>
        <w:rPr>
          <w:bCs/>
          <w:b/>
        </w:rPr>
        <w:t xml:space="preserve">Expand Cosmetic Offerings:</w:t>
      </w:r>
      <w:r>
        <w:t xml:space="preserve"> </w:t>
      </w:r>
      <w:r>
        <w:t xml:space="preserve">Introduce premium teeth whitening packages tailored for Lima's tourism sector (e.g., "Lima City Glow" package) to capitalize on peak visitor seasons.</w:t>
      </w:r>
    </w:p>
    <w:p>
      <w:pPr>
        <w:numPr>
          <w:ilvl w:val="0"/>
          <w:numId w:val="1002"/>
        </w:numPr>
        <w:pStyle w:val="Compact"/>
      </w:pPr>
      <w:r>
        <w:rPr>
          <w:bCs/>
          <w:b/>
        </w:rPr>
        <w:t xml:space="preserve">Leverage Technology:</w:t>
      </w:r>
      <w:r>
        <w:t xml:space="preserve"> </w:t>
      </w:r>
      <w:r>
        <w:t xml:space="preserve">Implement a dedicated mobile app for appointment management and post-care follow-ups, addressing the high smartphone penetration rate in Peru's urban centers (82% of Lima residents).</w:t>
      </w:r>
    </w:p>
    <w:p>
      <w:pPr>
        <w:numPr>
          <w:ilvl w:val="0"/>
          <w:numId w:val="1002"/>
        </w:numPr>
        <w:pStyle w:val="Compact"/>
      </w:pPr>
      <w:r>
        <w:rPr>
          <w:bCs/>
          <w:b/>
        </w:rPr>
        <w:t xml:space="preserve">Strengthen Community Outreach:</w:t>
      </w:r>
      <w:r>
        <w:t xml:space="preserve"> </w:t>
      </w:r>
      <w:r>
        <w:t xml:space="preserve">Deepen partnerships with schools and community centers in peripheral districts (e.g., El Agustino, Villa El Salvador) to expand preventive care access and build long-term patient loyalty.</w:t>
      </w:r>
    </w:p>
    <w:p>
      <w:pPr>
        <w:numPr>
          <w:ilvl w:val="0"/>
          <w:numId w:val="1002"/>
        </w:numPr>
        <w:pStyle w:val="Compact"/>
      </w:pPr>
      <w:r>
        <w:rPr>
          <w:bCs/>
          <w:b/>
        </w:rPr>
        <w:t xml:space="preserve">Optimize Pricing Strategy:</w:t>
      </w:r>
      <w:r>
        <w:t xml:space="preserve"> </w:t>
      </w:r>
      <w:r>
        <w:t xml:space="preserve">Develop flexible payment plans for high-value services like implants, addressing the primary barrier to entry identified in our patient surveys (37% of non-conversion leads cited cost).</w:t>
      </w:r>
    </w:p>
    <w:bookmarkEnd w:id="24"/>
    <w:bookmarkStart w:id="25" w:name="vi.-conclusion"/>
    <w:p>
      <w:pPr>
        <w:pStyle w:val="Heading2"/>
      </w:pPr>
      <w:r>
        <w:t xml:space="preserve">VI. Conclusion</w:t>
      </w:r>
    </w:p>
    <w:p>
      <w:pPr>
        <w:pStyle w:val="FirstParagraph"/>
      </w:pPr>
      <w:r>
        <w:t xml:space="preserve">The Q3 2023 Sales Report confirms that our</w:t>
      </w:r>
      <w:r>
        <w:t xml:space="preserve"> </w:t>
      </w:r>
      <w:r>
        <w:rPr>
          <w:iCs/>
          <w:i/>
        </w:rPr>
        <w:t xml:space="preserve">Dentist</w:t>
      </w:r>
      <w:r>
        <w:t xml:space="preserve"> </w:t>
      </w:r>
      <w:r>
        <w:t xml:space="preserve">practice is not only thriving but also strategically positioned to lead within the competitive healthcare landscape of</w:t>
      </w:r>
      <w:r>
        <w:t xml:space="preserve"> </w:t>
      </w:r>
      <w:r>
        <w:rPr>
          <w:bCs/>
          <w:b/>
        </w:rPr>
        <w:t xml:space="preserve">Peru Lima</w:t>
      </w:r>
      <w:r>
        <w:t xml:space="preserve">. Our growth trajectory directly responds to the evolving needs of Lima's diverse population – from affluent residents seeking cosmetic excellence to families prioritizing preventive care. The sustained increase in both patient volume and revenue, particularly in high-margin services like implants and cosmetic dentistry, validates our current operational model. As we enter Q4 2023, we remain committed to delivering exceptional care that aligns with Lima's standards of excellence while actively contributing to the city's healthcare ecosystem. This report serves as a clear roadmap for maintaining momentum and further solidifying our reputation as the premier choice for comprehensive dental services across all segments of</w:t>
      </w:r>
      <w:r>
        <w:t xml:space="preserve"> </w:t>
      </w:r>
      <w:r>
        <w:rPr>
          <w:bCs/>
          <w:b/>
        </w:rPr>
        <w:t xml:space="preserve">Peru Lima</w:t>
      </w:r>
      <w:r>
        <w:t xml:space="preserve">.</w:t>
      </w:r>
    </w:p>
    <w:p>
      <w:pPr>
        <w:pStyle w:val="BodyText"/>
      </w:pPr>
      <w:r>
        <w:rPr>
          <w:iCs/>
          <w:i/>
        </w:rPr>
        <w:t xml:space="preserve">Prepared by: [Your Name/Department]</w:t>
      </w:r>
      <w:r>
        <w:br/>
      </w:r>
      <w:r>
        <w:rPr>
          <w:iCs/>
          <w:i/>
        </w:rPr>
        <w:t xml:space="preserve">Dental Sales &amp; Strategy Team</w:t>
      </w:r>
      <w:r>
        <w:br/>
      </w:r>
      <w:r>
        <w:rPr>
          <w:iCs/>
          <w:i/>
        </w:rPr>
        <w:t xml:space="preserve">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Dental Sales Report: Q3 2023</dc:title>
  <dc:creator/>
  <dc:language>en</dc:language>
  <cp:keywords/>
  <dcterms:created xsi:type="dcterms:W3CDTF">2026-07-21T01:37:36Z</dcterms:created>
  <dcterms:modified xsi:type="dcterms:W3CDTF">2026-07-21T01:37:36Z</dcterms:modified>
</cp:coreProperties>
</file>

<file path=docProps/custom.xml><?xml version="1.0" encoding="utf-8"?>
<Properties xmlns="http://schemas.openxmlformats.org/officeDocument/2006/custom-properties" xmlns:vt="http://schemas.openxmlformats.org/officeDocument/2006/docPropsVTypes"/>
</file>