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Performance</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7" w:name="Xc86fb3f752198c4481fc6e25da560e55dfcc0c8"/>
    <w:p>
      <w:pPr>
        <w:pStyle w:val="Heading1"/>
      </w:pPr>
      <w:r>
        <w:t xml:space="preserve">Sales Report: Dental Service Performance Analysis for Clinics in Russia Moscow (Q3 2023)</w:t>
      </w:r>
    </w:p>
    <w:p>
      <w:pPr>
        <w:pStyle w:val="FirstParagraph"/>
      </w:pPr>
      <w:r>
        <w:rPr>
          <w:bCs/>
          <w:b/>
        </w:rPr>
        <w:t xml:space="preserve">Prepared For:</w:t>
      </w:r>
      <w:r>
        <w:t xml:space="preserve"> </w:t>
      </w:r>
      <w:r>
        <w:t xml:space="preserve">Executive Management &amp; Strategic Planning Committee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dental service delivery across key clinics in Russia Moscow during Q3 2023. The analysis demonstrates robust growth in patient acquisition and procedural revenue, driven by heightened consumer demand for cosmetic dentistry and improved clinic operational efficiency. Notably, Moscow's dental market has emerged as a critical growth engine within Russia's healthcare sector, with our network achieving a 17.8% year-over-year increase in total sales revenue. This report emphasizes strategic priorities for sustaining momentum in the competitive Russia Moscow landscape where patient expectations are rapidly evolving.</w:t>
      </w:r>
    </w:p>
    <w:bookmarkEnd w:id="20"/>
    <w:bookmarkStart w:id="21" w:name="ii.-moscow-market-context-demand-drivers"/>
    <w:p>
      <w:pPr>
        <w:pStyle w:val="Heading2"/>
      </w:pPr>
      <w:r>
        <w:t xml:space="preserve">II. Moscow Market Context &amp; Demand Drivers</w:t>
      </w:r>
    </w:p>
    <w:p>
      <w:pPr>
        <w:pStyle w:val="FirstParagraph"/>
      </w:pPr>
      <w:r>
        <w:t xml:space="preserve">The Russia Moscow dental sector continues to experience significant expansion, fueled by rising disposable income among middle and upper-class residents (approximately 65% of Moscow's population now falls into these brackets), increased health insurance coverage for basic procedures, and heightened social awareness around oral aesthetics. As a premier global city with one of the highest concentrations of premium dental facilities in Russia, Moscow represents a microcosm of advanced dental service delivery. Key demand drivers include:</w:t>
      </w:r>
    </w:p>
    <w:p>
      <w:pPr>
        <w:numPr>
          <w:ilvl w:val="0"/>
          <w:numId w:val="1001"/>
        </w:numPr>
        <w:pStyle w:val="Compact"/>
      </w:pPr>
      <w:r>
        <w:rPr>
          <w:bCs/>
          <w:b/>
        </w:rPr>
        <w:t xml:space="preserve">Cosmetic Dentistry Surge:</w:t>
      </w:r>
      <w:r>
        <w:t xml:space="preserve"> </w:t>
      </w:r>
      <w:r>
        <w:t xml:space="preserve">42% increase in veneer and teeth-whitening procedures (vs Q2 2023)</w:t>
      </w:r>
    </w:p>
    <w:p>
      <w:pPr>
        <w:numPr>
          <w:ilvl w:val="0"/>
          <w:numId w:val="1001"/>
        </w:numPr>
        <w:pStyle w:val="Compact"/>
      </w:pPr>
      <w:r>
        <w:rPr>
          <w:bCs/>
          <w:b/>
        </w:rPr>
        <w:t xml:space="preserve">Implantology Demand:</w:t>
      </w:r>
      <w:r>
        <w:t xml:space="preserve"> </w:t>
      </w:r>
      <w:r>
        <w:t xml:space="preserve">31% growth in dental implant sales, driven by aging demographics</w:t>
      </w:r>
    </w:p>
    <w:p>
      <w:pPr>
        <w:numPr>
          <w:ilvl w:val="0"/>
          <w:numId w:val="1001"/>
        </w:numPr>
        <w:pStyle w:val="Compact"/>
      </w:pPr>
      <w:r>
        <w:rPr>
          <w:bCs/>
          <w:b/>
        </w:rPr>
        <w:t xml:space="preserve">Pediatric Dentistry Expansion:</w:t>
      </w:r>
      <w:r>
        <w:t xml:space="preserve"> </w:t>
      </w:r>
      <w:r>
        <w:t xml:space="preserve">28% rise in orthodontic consultations for children</w:t>
      </w:r>
    </w:p>
    <w:bookmarkEnd w:id="21"/>
    <w:bookmarkStart w:id="22" w:name="Xefbed6d3f482d35a8cf24e4514abbaa7bf366d0"/>
    <w:p>
      <w:pPr>
        <w:pStyle w:val="Heading2"/>
      </w:pPr>
      <w:r>
        <w:t xml:space="preserve">III. Sales Performance Metrics (Russia Moscow Focus)</w:t>
      </w:r>
    </w:p>
    <w:p>
      <w:pPr>
        <w:pStyle w:val="FirstParagraph"/>
      </w:pPr>
      <w:r>
        <w:t xml:space="preserve">All data reflects operations within the Moscow city limits and its immediate metropolitan corridor, encompassing districts such as Tverskoy, Krasnoselsky, and Krasnogorsk.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(RUB)</w:t>
            </w:r>
          </w:p>
        </w:tc>
        <w:tc>
          <w:tcPr/>
          <w:p>
            <w:pPr>
              <w:pStyle w:val="Compact"/>
              <w:jc w:val="left"/>
            </w:pPr>
            <w:r>
              <w:t xml:space="preserve">YOY Growth</w:t>
            </w:r>
          </w:p>
        </w:tc>
        <w:tc>
          <w:tcPr/>
          <w:p>
            <w:pPr>
              <w:pStyle w:val="Compact"/>
              <w:jc w:val="left"/>
            </w:pPr>
            <w:r>
              <w:t xml:space="preserve">Market Share (Moscow)</w:t>
            </w:r>
          </w:p>
        </w:tc>
      </w:tr>
      <w:tr>
        <w:tc>
          <w:tcPr/>
          <w:p>
            <w:pPr>
              <w:pStyle w:val="Compact"/>
              <w:jc w:val="left"/>
            </w:pPr>
            <w:r>
              <w:t xml:space="preserve">Dental Implants</w:t>
            </w:r>
          </w:p>
        </w:tc>
        <w:tc>
          <w:tcPr/>
          <w:p>
            <w:pPr>
              <w:pStyle w:val="Compact"/>
              <w:jc w:val="left"/>
            </w:pPr>
            <w:r>
              <w:t xml:space="preserve">18,450,000</w:t>
            </w:r>
          </w:p>
        </w:tc>
        <w:tc>
          <w:tcPr/>
          <w:p>
            <w:pPr>
              <w:pStyle w:val="Compact"/>
              <w:jc w:val="left"/>
            </w:pPr>
            <w:r>
              <w:t xml:space="preserve">+31.2%</w:t>
            </w:r>
          </w:p>
        </w:tc>
        <w:tc>
          <w:tcPr/>
          <w:p>
            <w:pPr>
              <w:pStyle w:val="Compact"/>
              <w:jc w:val="left"/>
            </w:pPr>
            <w:r>
              <w:t xml:space="preserve">29.7%</w:t>
            </w:r>
          </w:p>
        </w:tc>
      </w:tr>
      <w:tr>
        <w:tc>
          <w:tcPr/>
          <w:p>
            <w:pPr>
              <w:pStyle w:val="Compact"/>
              <w:jc w:val="left"/>
            </w:pPr>
            <w:r>
              <w:t xml:space="preserve">Cosmetic Procedures (Veneers/Whitening)</w:t>
            </w:r>
          </w:p>
        </w:tc>
        <w:tc>
          <w:tcPr/>
          <w:p>
            <w:pPr>
              <w:pStyle w:val="Compact"/>
              <w:jc w:val="left"/>
            </w:pPr>
            <w:r>
              <w:t xml:space="preserve">14,875,000</w:t>
            </w:r>
          </w:p>
        </w:tc>
        <w:tc>
          <w:tcPr/>
          <w:p>
            <w:pPr>
              <w:pStyle w:val="Compact"/>
              <w:jc w:val="left"/>
            </w:pPr>
            <w:r>
              <w:t xml:space="preserve">+42.1%</w:t>
            </w:r>
          </w:p>
        </w:tc>
        <w:tc>
          <w:tcPr/>
          <w:p>
            <w:pPr>
              <w:pStyle w:val="Compact"/>
              <w:jc w:val="left"/>
            </w:pPr>
            <w:r>
              <w:t xml:space="preserve">35.9%</w:t>
            </w:r>
          </w:p>
        </w:tc>
      </w:tr>
      <w:tr>
        <w:tc>
          <w:tcPr/>
          <w:p>
            <w:pPr>
              <w:pStyle w:val="Compact"/>
              <w:jc w:val="left"/>
            </w:pPr>
            <w:r>
              <w:t xml:space="preserve">Total Procedural Revenue</w:t>
            </w:r>
          </w:p>
        </w:tc>
        <w:tc>
          <w:tcPr/>
          <w:p>
            <w:pPr>
              <w:pStyle w:val="Compact"/>
            </w:pPr>
          </w:p>
        </w:tc>
        <w:tc>
          <w:tcPr/>
          <w:p>
            <w:pPr>
              <w:pStyle w:val="Compact"/>
            </w:pPr>
          </w:p>
        </w:tc>
        <w:tc>
          <w:tcPr/>
          <w:p>
            <w:pPr>
              <w:pStyle w:val="Compact"/>
            </w:pPr>
          </w:p>
        </w:tc>
      </w:tr>
      <w:tr>
        <w:tc>
          <w:tcPr/>
          <w:p>
            <w:pPr>
              <w:pStyle w:val="Compact"/>
              <w:jc w:val="left"/>
            </w:pPr>
            <w:r>
              <w:rPr>
                <w:bCs/>
                <w:b/>
              </w:rPr>
              <w:t xml:space="preserve">33,325,000 RUB (+17.8% YOY)</w:t>
            </w:r>
          </w:p>
        </w:tc>
        <w:tc>
          <w:tcPr/>
          <w:p>
            <w:pPr>
              <w:pStyle w:val="Compact"/>
            </w:pPr>
          </w:p>
        </w:tc>
        <w:tc>
          <w:tcPr/>
          <w:p>
            <w:pPr>
              <w:pStyle w:val="Compact"/>
            </w:pPr>
          </w:p>
        </w:tc>
        <w:tc>
          <w:tcPr/>
          <w:p>
            <w:pPr>
              <w:pStyle w:val="Compact"/>
            </w:pPr>
          </w:p>
        </w:tc>
      </w:tr>
    </w:tbl>
    <w:p>
      <w:pPr>
        <w:pStyle w:val="BodyText"/>
      </w:pPr>
      <w:r>
        <w:t xml:space="preserve">Crucially, our market share in Russia Moscow's high-end dental segment grew to 29.7%, outpacing the regional average of 24.3%. This success is directly attributed to strategic positioning as a premium "Dentist" service provider offering German-engineered equipment and multilingual staff fluent in English and Chinese – critical for Moscow's international business community.</w:t>
      </w:r>
    </w:p>
    <w:bookmarkEnd w:id="22"/>
    <w:bookmarkStart w:id="23" w:name="X77dbd66ccd5eae0072a4b9c6a4c2e36a4fccf59"/>
    <w:p>
      <w:pPr>
        <w:pStyle w:val="Heading2"/>
      </w:pPr>
      <w:r>
        <w:t xml:space="preserve">IV. Competitive Landscape Analysis: Dentist Service Differentiation</w:t>
      </w:r>
    </w:p>
    <w:p>
      <w:pPr>
        <w:pStyle w:val="FirstParagraph"/>
      </w:pPr>
      <w:r>
        <w:t xml:space="preserve">The Russia Moscow dental market features intense competition, particularly in central districts. Key differentiators driving our sales performance include:</w:t>
      </w:r>
    </w:p>
    <w:p>
      <w:pPr>
        <w:numPr>
          <w:ilvl w:val="0"/>
          <w:numId w:val="1002"/>
        </w:numPr>
        <w:pStyle w:val="Compact"/>
      </w:pPr>
      <w:r>
        <w:rPr>
          <w:bCs/>
          <w:b/>
        </w:rPr>
        <w:t xml:space="preserve">Technology Integration:</w:t>
      </w:r>
      <w:r>
        <w:t xml:space="preserve"> </w:t>
      </w:r>
      <w:r>
        <w:t xml:space="preserve">Implementation of AI-assisted diagnostic tools (e.g., 3D intraoral scanners) at all Moscow locations – a feature absent in 68% of competitor clinics</w:t>
      </w:r>
    </w:p>
    <w:p>
      <w:pPr>
        <w:numPr>
          <w:ilvl w:val="0"/>
          <w:numId w:val="1002"/>
        </w:numPr>
        <w:pStyle w:val="Compact"/>
      </w:pPr>
      <w:r>
        <w:rPr>
          <w:bCs/>
          <w:b/>
        </w:rPr>
        <w:t xml:space="preserve">Flexible Payment Models:</w:t>
      </w:r>
      <w:r>
        <w:t xml:space="preserve"> </w:t>
      </w:r>
      <w:r>
        <w:t xml:space="preserve">Introduction of "Dentist Care Plans" with interest-free installment options for implants, adopted by 41% of new patients (vs. industry average of 22%)</w:t>
      </w:r>
    </w:p>
    <w:p>
      <w:pPr>
        <w:numPr>
          <w:ilvl w:val="0"/>
          <w:numId w:val="1002"/>
        </w:numPr>
        <w:pStyle w:val="Compact"/>
      </w:pPr>
      <w:r>
        <w:rPr>
          <w:bCs/>
          <w:b/>
        </w:rPr>
        <w:t xml:space="preserve">Niche Specialization:</w:t>
      </w:r>
      <w:r>
        <w:t xml:space="preserve"> </w:t>
      </w:r>
      <w:r>
        <w:t xml:space="preserve">Dedicated pediatric dentistry suites in Moscow clinics, addressing a critical gap in competitor offerings</w:t>
      </w:r>
    </w:p>
    <w:bookmarkEnd w:id="23"/>
    <w:bookmarkStart w:id="24" w:name="Xc70ed201d410e63ed08435c921c5faaa31a901a"/>
    <w:p>
      <w:pPr>
        <w:pStyle w:val="Heading2"/>
      </w:pPr>
      <w:r>
        <w:t xml:space="preserve">V. Regional Sales Challenges in Russia Moscow</w:t>
      </w:r>
    </w:p>
    <w:p>
      <w:pPr>
        <w:pStyle w:val="FirstParagraph"/>
      </w:pPr>
      <w:r>
        <w:t xml:space="preserve">Despite strong growth, challenges persist within the Moscow ecosystem:</w:t>
      </w:r>
    </w:p>
    <w:p>
      <w:pPr>
        <w:numPr>
          <w:ilvl w:val="0"/>
          <w:numId w:val="1003"/>
        </w:numPr>
        <w:pStyle w:val="Compact"/>
      </w:pPr>
      <w:r>
        <w:rPr>
          <w:bCs/>
          <w:b/>
        </w:rPr>
        <w:t xml:space="preserve">Staffing Shortages:</w:t>
      </w:r>
      <w:r>
        <w:t xml:space="preserve"> </w:t>
      </w:r>
      <w:r>
        <w:t xml:space="preserve">15% vacancy rate for senior dentists in central Moscow districts due to competitive salaries offered by private clinics</w:t>
      </w:r>
    </w:p>
    <w:p>
      <w:pPr>
        <w:numPr>
          <w:ilvl w:val="0"/>
          <w:numId w:val="1003"/>
        </w:numPr>
        <w:pStyle w:val="Compact"/>
      </w:pPr>
      <w:r>
        <w:rPr>
          <w:bCs/>
          <w:b/>
        </w:rPr>
        <w:t xml:space="preserve">Regulatory Compliance:</w:t>
      </w:r>
      <w:r>
        <w:t xml:space="preserve"> </w:t>
      </w:r>
      <w:r>
        <w:t xml:space="preserve">New Federal Law No. 323-FZ (effective Jan 2023) requiring digital patient records increased administrative costs by 11% for small clinics</w:t>
      </w:r>
    </w:p>
    <w:p>
      <w:pPr>
        <w:numPr>
          <w:ilvl w:val="0"/>
          <w:numId w:val="1003"/>
        </w:numPr>
        <w:pStyle w:val="Compact"/>
      </w:pPr>
      <w:r>
        <w:rPr>
          <w:bCs/>
          <w:b/>
        </w:rPr>
        <w:t xml:space="preserve">Seasonal Fluctuations:</w:t>
      </w:r>
      <w:r>
        <w:t xml:space="preserve"> </w:t>
      </w:r>
      <w:r>
        <w:t xml:space="preserve">22% drop in routine check-ups during summer (July/August), impacting monthly sales consistency</w:t>
      </w:r>
    </w:p>
    <w:bookmarkEnd w:id="24"/>
    <w:bookmarkStart w:id="25" w:name="Xc689635710df24baec79dc5380499513c7f6428"/>
    <w:p>
      <w:pPr>
        <w:pStyle w:val="Heading2"/>
      </w:pPr>
      <w:r>
        <w:t xml:space="preserve">VI. Strategic Recommendations for Sustained Growth in Moscow</w:t>
      </w:r>
    </w:p>
    <w:p>
      <w:pPr>
        <w:pStyle w:val="FirstParagraph"/>
      </w:pPr>
      <w:r>
        <w:t xml:space="preserve">To capitalize on Russia Moscow's premium dental market potential, we recommend immediate action:</w:t>
      </w:r>
    </w:p>
    <w:p>
      <w:pPr>
        <w:numPr>
          <w:ilvl w:val="0"/>
          <w:numId w:val="1004"/>
        </w:numPr>
        <w:pStyle w:val="Compact"/>
      </w:pPr>
      <w:r>
        <w:rPr>
          <w:bCs/>
          <w:b/>
        </w:rPr>
        <w:t xml:space="preserve">Expand Tele-Dentistry Services:</w:t>
      </w:r>
      <w:r>
        <w:t xml:space="preserve"> </w:t>
      </w:r>
      <w:r>
        <w:t xml:space="preserve">Launch virtual consultations targeting business districts (Tverskoy, Leningradsky) to capture pre-sale pipeline – projected 12% revenue increase by Q2 2024</w:t>
      </w:r>
    </w:p>
    <w:p>
      <w:pPr>
        <w:numPr>
          <w:ilvl w:val="0"/>
          <w:numId w:val="1004"/>
        </w:numPr>
        <w:pStyle w:val="Compact"/>
      </w:pPr>
      <w:r>
        <w:rPr>
          <w:bCs/>
          <w:b/>
        </w:rPr>
        <w:t xml:space="preserve">Develop Russian-Language Marketing Campaigns:</w:t>
      </w:r>
      <w:r>
        <w:t xml:space="preserve"> </w:t>
      </w:r>
      <w:r>
        <w:t xml:space="preserve">Leverage Moscow's social media habits; collaborate with popular health influencers (e.g., @MoscowDentist on VKontakte) to build trust</w:t>
      </w:r>
    </w:p>
    <w:p>
      <w:pPr>
        <w:numPr>
          <w:ilvl w:val="0"/>
          <w:numId w:val="1004"/>
        </w:numPr>
        <w:pStyle w:val="Compact"/>
      </w:pPr>
      <w:r>
        <w:rPr>
          <w:bCs/>
          <w:b/>
        </w:rPr>
        <w:t xml:space="preserve">Strategic Clinic Expansion:</w:t>
      </w:r>
      <w:r>
        <w:t xml:space="preserve"> </w:t>
      </w:r>
      <w:r>
        <w:t xml:space="preserve">Open new location in the fast-growing "New Moscow" zone (Krasnogorsk), where 37% of residents lack convenient access to premium dental care</w:t>
      </w:r>
    </w:p>
    <w:p>
      <w:pPr>
        <w:numPr>
          <w:ilvl w:val="0"/>
          <w:numId w:val="1004"/>
        </w:numPr>
        <w:pStyle w:val="Compact"/>
      </w:pPr>
      <w:r>
        <w:rPr>
          <w:bCs/>
          <w:b/>
        </w:rPr>
        <w:t xml:space="preserve">Dentist Retention Program:</w:t>
      </w:r>
      <w:r>
        <w:t xml:space="preserve"> </w:t>
      </w:r>
      <w:r>
        <w:t xml:space="preserve">Introduce career advancement tracks for Moscow-based dentists, including annual paid specialization courses in Germany</w:t>
      </w:r>
    </w:p>
    <w:bookmarkEnd w:id="25"/>
    <w:bookmarkStart w:id="26" w:name="X3bfa7bcd5e573f8e384eaeb7d6dccc4f5b81821"/>
    <w:p>
      <w:pPr>
        <w:pStyle w:val="Heading2"/>
      </w:pPr>
      <w:r>
        <w:t xml:space="preserve">VII. Conclusion: The Path Forward for Dentist Sales in Russia Moscow</w:t>
      </w:r>
    </w:p>
    <w:p>
      <w:pPr>
        <w:pStyle w:val="FirstParagraph"/>
      </w:pPr>
      <w:r>
        <w:t xml:space="preserve">This Sales Report confirms that the Russia Moscow market remains a high-potential frontier for dental service providers who prioritize technological innovation and patient-centric service models. Our Q3 performance demonstrates that by positioning as a premium "Dentist" destination – rather than merely a clinical provider – we successfully captured market share in one of Europe's most dynamic healthcare markets. The 17.8% revenue growth is not an anomaly but the result of systematic investments tailored to Moscow's unique socioeconomic profile.</w:t>
      </w:r>
    </w:p>
    <w:p>
      <w:pPr>
        <w:pStyle w:val="BodyText"/>
      </w:pPr>
      <w:r>
        <w:t xml:space="preserve">As we move into Q4, the strategic focus must intensify on converting our strong Q3 sales momentum into sustainable market leadership across Russia Moscow. Key performance indicators for November 2023 will include:</w:t>
      </w:r>
    </w:p>
    <w:p>
      <w:pPr>
        <w:numPr>
          <w:ilvl w:val="0"/>
          <w:numId w:val="1005"/>
        </w:numPr>
        <w:pStyle w:val="Compact"/>
      </w:pPr>
      <w:r>
        <w:t xml:space="preserve">75% patient retention rate in Moscow clinics</w:t>
      </w:r>
    </w:p>
    <w:p>
      <w:pPr>
        <w:numPr>
          <w:ilvl w:val="0"/>
          <w:numId w:val="1005"/>
        </w:numPr>
        <w:pStyle w:val="Compact"/>
      </w:pPr>
      <w:r>
        <w:t xml:space="preserve">Entry into 2 new residential districts within Moscow city limits</w:t>
      </w:r>
    </w:p>
    <w:p>
      <w:pPr>
        <w:numPr>
          <w:ilvl w:val="0"/>
          <w:numId w:val="1005"/>
        </w:numPr>
        <w:pStyle w:val="Compact"/>
      </w:pPr>
      <w:r>
        <w:t xml:space="preserve">Maintenance of &gt;30% market share in cosmetic dentistry segment (Moscow)</w:t>
      </w:r>
    </w:p>
    <w:p>
      <w:pPr>
        <w:pStyle w:val="FirstParagraph"/>
      </w:pPr>
      <w:r>
        <w:t xml:space="preserve">The future of dental sales success in Russia is intrinsically linked to understanding and adapting to Moscow's rapidly evolving healthcare consumer landscape. Our ability to deliver exceptional, technology-enhanced "Dentist" experiences will continue to be the primary driver of sustainable growth within this critical market.</w:t>
      </w:r>
    </w:p>
    <w:p>
      <w:pPr>
        <w:pStyle w:val="BodyText"/>
      </w:pPr>
      <w:r>
        <w:rPr>
          <w:bCs/>
          <w:b/>
        </w:rPr>
        <w:t xml:space="preserve">Prepared By:</w:t>
      </w:r>
      <w:r>
        <w:t xml:space="preserve"> </w:t>
      </w:r>
      <w:r>
        <w:t xml:space="preserve">Regional Sales Strategy Team, Central Europe &amp; Russia Division</w:t>
      </w:r>
      <w:r>
        <w:br/>
      </w:r>
      <w:r>
        <w:rPr>
          <w:bCs/>
          <w:b/>
        </w:rPr>
        <w:t xml:space="preserve">Contact:</w:t>
      </w:r>
      <w:r>
        <w:t xml:space="preserve"> </w:t>
      </w:r>
      <w:r>
        <w:t xml:space="preserve">sales.strategy.moscow@dentistry.rus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Performance Report: Russia Moscow Market Analysis</dc:title>
  <dc:creator/>
  <dc:language>en</dc:language>
  <cp:keywords/>
  <dcterms:created xsi:type="dcterms:W3CDTF">2026-07-23T15:17:03Z</dcterms:created>
  <dcterms:modified xsi:type="dcterms:W3CDTF">2026-07-23T15:17:03Z</dcterms:modified>
</cp:coreProperties>
</file>

<file path=docProps/custom.xml><?xml version="1.0" encoding="utf-8"?>
<Properties xmlns="http://schemas.openxmlformats.org/officeDocument/2006/custom-properties" xmlns:vt="http://schemas.openxmlformats.org/officeDocument/2006/docPropsVTypes"/>
</file>