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a8e2077383e21a8bdfdef6420e87eb7cdedcde"/>
    <w:p>
      <w:pPr>
        <w:pStyle w:val="Heading1"/>
      </w:pPr>
      <w:r>
        <w:t xml:space="preserve">Sales Report for Dental Service Offerings in Singapore</w:t>
      </w:r>
    </w:p>
    <w:p>
      <w:pPr>
        <w:pStyle w:val="FirstParagraph"/>
      </w:pPr>
      <w:r>
        <w:t xml:space="preserve">Prepared for Internal Management Review | Q3 2023 | Singapore Dental Care Group</w:t>
      </w:r>
    </w:p>
    <w:bookmarkStart w:id="20" w:name="executive-summary"/>
    <w:p>
      <w:pPr>
        <w:pStyle w:val="Heading2"/>
      </w:pPr>
      <w:r>
        <w:t xml:space="preserve">Executive Summary</w:t>
      </w:r>
    </w:p>
    <w:p>
      <w:pPr>
        <w:pStyle w:val="FirstParagraph"/>
      </w:pPr>
      <w:r>
        <w:t xml:space="preserve">This comprehensive Sales Report details the performance of dental service offerings across our Singapore network during the third quarter of 2023. As a leading provider of holistic dental care in Singapore, we track patient consultations, treatment packages, and revenue streams to optimize our market position. The report confirms robust growth (+18.7% YoY) in sales performance for</w:t>
      </w:r>
      <w:r>
        <w:t xml:space="preserve"> </w:t>
      </w:r>
      <w:r>
        <w:rPr>
          <w:iCs/>
          <w:i/>
        </w:rPr>
        <w:t xml:space="preserve">dentist</w:t>
      </w:r>
      <w:r>
        <w:t xml:space="preserve">-delivered services across all clinics, driven by heightened consumer awareness and strategic service diversification aligned with Singapore's healthcare priorities.</w:t>
      </w:r>
    </w:p>
    <w:bookmarkEnd w:id="20"/>
    <w:bookmarkStart w:id="21" w:name="market-context-in-singapore"/>
    <w:p>
      <w:pPr>
        <w:pStyle w:val="Heading2"/>
      </w:pPr>
      <w:r>
        <w:t xml:space="preserve">Market Context in Singapore</w:t>
      </w:r>
    </w:p>
    <w:p>
      <w:pPr>
        <w:pStyle w:val="FirstParagraph"/>
      </w:pPr>
      <w:r>
        <w:t xml:space="preserve">Singapore’s dental market continues to expand rapidly, with the Health Promotion Board (HPB) reporting that 78% of Singaporean adults require regular dental check-ups. This aligns with our sales strategy targeting both routine care and premium cosmetic services. Key drivers include:</w:t>
      </w:r>
    </w:p>
    <w:p>
      <w:pPr>
        <w:numPr>
          <w:ilvl w:val="0"/>
          <w:numId w:val="1001"/>
        </w:numPr>
        <w:pStyle w:val="Compact"/>
      </w:pPr>
      <w:r>
        <w:rPr>
          <w:bCs/>
          <w:b/>
        </w:rPr>
        <w:t xml:space="preserve">Population Health Trends:</w:t>
      </w:r>
      <w:r>
        <w:t xml:space="preserve"> </w:t>
      </w:r>
      <w:r>
        <w:t xml:space="preserve">Rising obesity rates correlate with increased dental issues (e.g., gum disease), boosting demand for preventive consultations.</w:t>
      </w:r>
    </w:p>
    <w:p>
      <w:pPr>
        <w:numPr>
          <w:ilvl w:val="0"/>
          <w:numId w:val="1001"/>
        </w:numPr>
        <w:pStyle w:val="Compact"/>
      </w:pPr>
      <w:r>
        <w:rPr>
          <w:bCs/>
          <w:b/>
        </w:rPr>
        <w:t xml:space="preserve">Medisave Eligibility:</w:t>
      </w:r>
      <w:r>
        <w:t xml:space="preserve"> </w:t>
      </w:r>
      <w:r>
        <w:t xml:space="preserve">Singapore’s universal Medisave scheme covers 70% of basic dental treatments, significantly improving patient affordability and sales conversion rates.</w:t>
      </w:r>
    </w:p>
    <w:p>
      <w:pPr>
        <w:numPr>
          <w:ilvl w:val="0"/>
          <w:numId w:val="1001"/>
        </w:numPr>
        <w:pStyle w:val="Compact"/>
      </w:pPr>
      <w:r>
        <w:rPr>
          <w:bCs/>
          <w:b/>
        </w:rPr>
        <w:t xml:space="preserve">Cosmetic Demand Surge:</w:t>
      </w:r>
      <w:r>
        <w:t xml:space="preserve"> </w:t>
      </w:r>
      <w:r>
        <w:t xml:space="preserve">In Singapore, 62% of adults aged 25–40 pursue cosmetic procedures (e.g., veneers, Invisalign), creating high-margin revenue streams for our dentist teams.</w:t>
      </w:r>
    </w:p>
    <w:bookmarkEnd w:id="21"/>
    <w:bookmarkStart w:id="23" w:name="sales-performance-breakdown"/>
    <w:p>
      <w:pPr>
        <w:pStyle w:val="Heading2"/>
      </w:pPr>
      <w:r>
        <w:t xml:space="preserve">Sales Performance Breakdown</w:t>
      </w:r>
    </w:p>
    <w:p>
      <w:pPr>
        <w:pStyle w:val="FirstParagraph"/>
      </w:pPr>
      <w:r>
        <w:t xml:space="preserve">This section analyzes service-level sales data across our Singapore clinics (Orchard Road, Tiong Bahru, and Jurong East). All figures reflect Q3 2023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right"/>
            </w:pPr>
            <w:r>
              <w:t xml:space="preserve">Units Sold (Q3)</w:t>
            </w:r>
          </w:p>
        </w:tc>
        <w:tc>
          <w:tcPr/>
          <w:p>
            <w:pPr>
              <w:pStyle w:val="Compact"/>
              <w:jc w:val="right"/>
            </w:pPr>
            <w:r>
              <w:t xml:space="preserve">Revenue (SGD)</w:t>
            </w:r>
          </w:p>
        </w:tc>
        <w:tc>
          <w:tcPr/>
          <w:p>
            <w:pPr>
              <w:pStyle w:val="Compact"/>
              <w:jc w:val="right"/>
            </w:pPr>
            <w:r>
              <w:t xml:space="preserve">Growth vs. Q2</w:t>
            </w:r>
          </w:p>
        </w:tc>
      </w:tr>
      <w:tr>
        <w:tc>
          <w:tcPr/>
          <w:p>
            <w:pPr>
              <w:pStyle w:val="Compact"/>
              <w:jc w:val="left"/>
            </w:pPr>
            <w:r>
              <w:t xml:space="preserve">Routine Check-ups &amp; Cleanings</w:t>
            </w:r>
          </w:p>
        </w:tc>
        <w:tc>
          <w:tcPr/>
          <w:p>
            <w:pPr>
              <w:pStyle w:val="Compact"/>
              <w:jc w:val="right"/>
            </w:pPr>
            <w:r>
              <w:t xml:space="preserve">2,850</w:t>
            </w:r>
          </w:p>
        </w:tc>
        <w:tc>
          <w:tcPr/>
          <w:p>
            <w:pPr>
              <w:pStyle w:val="Compact"/>
              <w:jc w:val="right"/>
            </w:pPr>
            <w:r>
              <w:t xml:space="preserve">S$342,000</w:t>
            </w:r>
          </w:p>
        </w:tc>
        <w:tc>
          <w:tcPr/>
          <w:p>
            <w:pPr>
              <w:pStyle w:val="Compact"/>
              <w:jc w:val="right"/>
            </w:pPr>
            <w:r>
              <w:t xml:space="preserve">+9.2%</w:t>
            </w:r>
          </w:p>
        </w:tc>
      </w:tr>
      <w:tr>
        <w:tc>
          <w:tcPr/>
          <w:p>
            <w:pPr>
              <w:pStyle w:val="Compact"/>
              <w:jc w:val="left"/>
            </w:pPr>
            <w:r>
              <w:t xml:space="preserve">Cosmetic Dentistry (Veneers/Invisalign)</w:t>
            </w:r>
          </w:p>
        </w:tc>
        <w:tc>
          <w:tcPr/>
          <w:p>
            <w:pPr>
              <w:pStyle w:val="Compact"/>
              <w:jc w:val="right"/>
            </w:pPr>
            <w:r>
              <w:t xml:space="preserve">825</w:t>
            </w:r>
          </w:p>
        </w:tc>
        <w:tc>
          <w:tcPr/>
          <w:p>
            <w:pPr>
              <w:pStyle w:val="Compact"/>
              <w:jc w:val="right"/>
            </w:pPr>
            <w:r>
              <w:t xml:space="preserve">S$675,500</w:t>
            </w:r>
          </w:p>
        </w:tc>
        <w:tc>
          <w:tcPr/>
          <w:p>
            <w:pPr>
              <w:pStyle w:val="Compact"/>
              <w:jc w:val="right"/>
            </w:pPr>
            <w:r>
              <w:t xml:space="preserve">+23.4%</w:t>
            </w:r>
          </w:p>
        </w:tc>
      </w:tr>
      <w:tr>
        <w:tc>
          <w:tcPr/>
          <w:p>
            <w:pPr>
              <w:pStyle w:val="Compact"/>
              <w:jc w:val="left"/>
            </w:pPr>
            <w:r>
              <w:t xml:space="preserve">Restorative Treatments (Crowns/Implants)</w:t>
            </w:r>
          </w:p>
        </w:tc>
        <w:tc>
          <w:tcPr/>
          <w:p>
            <w:pPr>
              <w:pStyle w:val="Compact"/>
              <w:jc w:val="right"/>
            </w:pPr>
            <w:r>
              <w:t xml:space="preserve">568</w:t>
            </w:r>
          </w:p>
        </w:tc>
        <w:tc>
          <w:tcPr/>
          <w:p>
            <w:pPr>
              <w:pStyle w:val="Compact"/>
              <w:jc w:val="right"/>
            </w:pPr>
            <w:r>
              <w:t xml:space="preserve">S$432,750</w:t>
            </w:r>
          </w:p>
        </w:tc>
        <w:tc>
          <w:tcPr/>
          <w:p>
            <w:pPr>
              <w:pStyle w:val="Compact"/>
              <w:jc w:val="right"/>
            </w:pPr>
            <w:r>
              <w:t xml:space="preserve">+14.8%</w:t>
            </w:r>
          </w:p>
        </w:tc>
      </w:tr>
      <w:tr>
        <w:tc>
          <w:tcPr/>
          <w:p>
            <w:pPr>
              <w:pStyle w:val="Compact"/>
              <w:jc w:val="left"/>
            </w:pPr>
            <w:r>
              <w:t xml:space="preserve">TOTAL</w:t>
            </w:r>
          </w:p>
        </w:tc>
        <w:tc>
          <w:tcPr/>
          <w:p>
            <w:pPr>
              <w:pStyle w:val="Compact"/>
              <w:jc w:val="right"/>
            </w:pPr>
            <w:r>
              <w:t xml:space="preserve">4,243</w:t>
            </w:r>
          </w:p>
        </w:tc>
        <w:tc>
          <w:tcPr/>
          <w:p>
            <w:pPr>
              <w:pStyle w:val="Compact"/>
              <w:jc w:val="right"/>
            </w:pPr>
            <w:r>
              <w:t xml:space="preserve">S$1,450,250</w:t>
            </w:r>
          </w:p>
        </w:tc>
        <w:tc>
          <w:tcPr/>
          <w:p>
            <w:pPr>
              <w:pStyle w:val="Compact"/>
              <w:jc w:val="right"/>
            </w:pPr>
            <w:r>
              <w:t xml:space="preserve">+18.7%</w:t>
            </w:r>
          </w:p>
        </w:tc>
      </w:tr>
    </w:tbl>
    <w:bookmarkStart w:id="22" w:name="key-insights-driving-sales-success"/>
    <w:p>
      <w:pPr>
        <w:pStyle w:val="Heading3"/>
      </w:pPr>
      <w:r>
        <w:t xml:space="preserve">Key Insights Driving Sales Success</w:t>
      </w:r>
    </w:p>
    <w:p>
      <w:pPr>
        <w:numPr>
          <w:ilvl w:val="0"/>
          <w:numId w:val="1002"/>
        </w:numPr>
        <w:pStyle w:val="Compact"/>
      </w:pPr>
      <w:r>
        <w:rPr>
          <w:bCs/>
          <w:b/>
        </w:rPr>
        <w:t xml:space="preserve">Strategic Pricing in Singapore:</w:t>
      </w:r>
      <w:r>
        <w:t xml:space="preserve"> </w:t>
      </w:r>
      <w:r>
        <w:t xml:space="preserve">Our "Dentist for Life" membership (S$99/month) increased sales by 31% through recurring revenue. This model resonated with Singapore’s cost-conscious middle class.</w:t>
      </w:r>
    </w:p>
    <w:p>
      <w:pPr>
        <w:numPr>
          <w:ilvl w:val="0"/>
          <w:numId w:val="1002"/>
        </w:numPr>
        <w:pStyle w:val="Compact"/>
      </w:pPr>
      <w:r>
        <w:rPr>
          <w:bCs/>
          <w:b/>
        </w:rPr>
        <w:t xml:space="preserve">Targeted Digital Campaigns:</w:t>
      </w:r>
      <w:r>
        <w:t xml:space="preserve"> </w:t>
      </w:r>
      <w:r>
        <w:t xml:space="preserve">Geo-targeted Facebook/Instagram ads focused on Singapore neighborhoods (e.g., "Affordable Invisalign in Jurong") drove a 40% rise in cosmetic consultations.</w:t>
      </w:r>
    </w:p>
    <w:p>
      <w:pPr>
        <w:numPr>
          <w:ilvl w:val="0"/>
          <w:numId w:val="1002"/>
        </w:numPr>
        <w:pStyle w:val="Compact"/>
      </w:pPr>
      <w:r>
        <w:rPr>
          <w:bCs/>
          <w:b/>
        </w:rPr>
        <w:t xml:space="preserve">Partnerships with Local Employers:</w:t>
      </w:r>
      <w:r>
        <w:t xml:space="preserve"> </w:t>
      </w:r>
      <w:r>
        <w:t xml:space="preserve">Collaborations with Singaporean companies (e.g., DBS Bank, Singtel) for employee dental packages added 187 new corporate clients.</w:t>
      </w:r>
    </w:p>
    <w:bookmarkEnd w:id="22"/>
    <w:bookmarkEnd w:id="23"/>
    <w:bookmarkStart w:id="24" w:name="X0440b0ea5f53e715c9f1ed767705f001a3f7d39"/>
    <w:p>
      <w:pPr>
        <w:pStyle w:val="Heading2"/>
      </w:pPr>
      <w:r>
        <w:t xml:space="preserve">Competitive Landscape Analysis (Singapore Focus)</w:t>
      </w:r>
    </w:p>
    <w:p>
      <w:pPr>
        <w:pStyle w:val="FirstParagraph"/>
      </w:pPr>
      <w:r>
        <w:t xml:space="preserve">Our sales performance outpaced the Singapore dental market average of +12.3% due to:</w:t>
      </w:r>
    </w:p>
    <w:p>
      <w:pPr>
        <w:numPr>
          <w:ilvl w:val="0"/>
          <w:numId w:val="1003"/>
        </w:numPr>
        <w:pStyle w:val="Compact"/>
      </w:pPr>
      <w:r>
        <w:rPr>
          <w:bCs/>
          <w:b/>
        </w:rPr>
        <w:t xml:space="preserve">Technology Advantage:</w:t>
      </w:r>
      <w:r>
        <w:t xml:space="preserve"> </w:t>
      </w:r>
      <w:r>
        <w:t xml:space="preserve">Our clinics in Singapore are among the first to deploy AI-assisted diagnostics, reducing consultation times by 25% and increasing patient volume.</w:t>
      </w:r>
    </w:p>
    <w:p>
      <w:pPr>
        <w:numPr>
          <w:ilvl w:val="0"/>
          <w:numId w:val="1003"/>
        </w:numPr>
        <w:pStyle w:val="Compact"/>
      </w:pPr>
      <w:r>
        <w:rPr>
          <w:bCs/>
          <w:b/>
        </w:rPr>
        <w:t xml:space="preserve">Cultural Sensitivity:</w:t>
      </w:r>
      <w:r>
        <w:t xml:space="preserve"> </w:t>
      </w:r>
      <w:r>
        <w:t xml:space="preserve">Training for all dentist staff on multicultural Singaporean needs (e.g., Malay/Chinese/Indian patient communication) improved retention rates by 19%.</w:t>
      </w:r>
    </w:p>
    <w:p>
      <w:pPr>
        <w:numPr>
          <w:ilvl w:val="0"/>
          <w:numId w:val="1003"/>
        </w:numPr>
        <w:pStyle w:val="Compact"/>
      </w:pPr>
      <w:r>
        <w:rPr>
          <w:bCs/>
          <w:b/>
        </w:rPr>
        <w:t xml:space="preserve">Competitor Gap:</w:t>
      </w:r>
      <w:r>
        <w:t xml:space="preserve"> </w:t>
      </w:r>
      <w:r>
        <w:t xml:space="preserve">Most rival clinics lack Medisave-claim integration; our seamless digital payment system (via SingPass) reduced no-shows by 15%.</w:t>
      </w:r>
    </w:p>
    <w:bookmarkEnd w:id="24"/>
    <w:bookmarkStart w:id="25" w:name="challenges-strategic-recommendations"/>
    <w:p>
      <w:pPr>
        <w:pStyle w:val="Heading2"/>
      </w:pPr>
      <w:r>
        <w:t xml:space="preserve">Challenges &amp; Strategic Recommendations</w:t>
      </w:r>
    </w:p>
    <w:p>
      <w:pPr>
        <w:pStyle w:val="FirstParagraph"/>
      </w:pPr>
      <w:r>
        <w:t xml:space="preserve">While sales growth is strong, we identified two critical areas for Singapore-specific optimization:</w:t>
      </w:r>
    </w:p>
    <w:p>
      <w:pPr>
        <w:numPr>
          <w:ilvl w:val="0"/>
          <w:numId w:val="1004"/>
        </w:numPr>
        <w:pStyle w:val="Compact"/>
      </w:pPr>
      <w:r>
        <w:rPr>
          <w:bCs/>
          <w:b/>
        </w:rPr>
        <w:t xml:space="preserve">Addressing Rural Accessibility:</w:t>
      </w:r>
      <w:r>
        <w:t xml:space="preserve"> </w:t>
      </w:r>
      <w:r>
        <w:t xml:space="preserve">Only 38% of our patients are from outside Central Region (e.g., Tampines, Sengkang). Recommendation: Launch mobile dentist clinics servicing HDB estates in Q1 2024.</w:t>
      </w:r>
    </w:p>
    <w:p>
      <w:pPr>
        <w:numPr>
          <w:ilvl w:val="0"/>
          <w:numId w:val="1004"/>
        </w:numPr>
        <w:pStyle w:val="Compact"/>
      </w:pPr>
      <w:r>
        <w:rPr>
          <w:bCs/>
          <w:b/>
        </w:rPr>
        <w:t xml:space="preserve">Boosting Preventive Sales:</w:t>
      </w:r>
      <w:r>
        <w:t xml:space="preserve"> </w:t>
      </w:r>
      <w:r>
        <w:t xml:space="preserve">Routine check-ups account for 60% of revenue but have lower margins. Recommendation: Bundle with oral hygiene kits (S$15) to increase average transaction value by 22%.</w:t>
      </w:r>
    </w:p>
    <w:bookmarkEnd w:id="25"/>
    <w:bookmarkStart w:id="26" w:name="conclusion"/>
    <w:p>
      <w:pPr>
        <w:pStyle w:val="Heading2"/>
      </w:pPr>
      <w:r>
        <w:t xml:space="preserve">Conclusion</w:t>
      </w:r>
    </w:p>
    <w:p>
      <w:pPr>
        <w:pStyle w:val="FirstParagraph"/>
      </w:pPr>
      <w:r>
        <w:t xml:space="preserve">This Sales Report underscores that Singapore’s dental market remains highly responsive to patient-centric, technology-driven service models. Our dentist teams have successfully leveraged local healthcare infrastructure (Medisave, HPB campaigns) and cultural nuances to achieve sustainable revenue growth. Moving forward, we will prioritize expanding into underserved communities across Singapore while doubling down on high-demand cosmetic services – the fastest-growing segment in our</w:t>
      </w:r>
      <w:r>
        <w:t xml:space="preserve"> </w:t>
      </w:r>
      <w:r>
        <w:rPr>
          <w:iCs/>
          <w:i/>
        </w:rPr>
        <w:t xml:space="preserve">sales report</w:t>
      </w:r>
      <w:r>
        <w:t xml:space="preserve"> </w:t>
      </w:r>
      <w:r>
        <w:t xml:space="preserve">data.</w:t>
      </w:r>
    </w:p>
    <w:p>
      <w:pPr>
        <w:pStyle w:val="BodyText"/>
      </w:pPr>
      <w:r>
        <w:t xml:space="preserve">"In Singapore, where dental health is increasingly linked to overall wellness, our dentist-led sales strategy isn’t just about procedures – it’s about building trust and long-term patient relationships. This report proves that approach is delivering tangible results."</w:t>
      </w:r>
    </w:p>
    <w:p>
      <w:pPr>
        <w:pStyle w:val="BodyText"/>
      </w:pPr>
      <w:r>
        <w:t xml:space="preserve">Prepared by: Singapore Dental Care Group Sales Intelligence Team</w:t>
      </w:r>
      <w:r>
        <w:br/>
      </w: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2026-07-23T14:13:17Z</dcterms:created>
  <dcterms:modified xsi:type="dcterms:W3CDTF">2026-07-23T14:13:17Z</dcterms:modified>
</cp:coreProperties>
</file>

<file path=docProps/custom.xml><?xml version="1.0" encoding="utf-8"?>
<Properties xmlns="http://schemas.openxmlformats.org/officeDocument/2006/custom-properties" xmlns:vt="http://schemas.openxmlformats.org/officeDocument/2006/docPropsVTypes"/>
</file>