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Dental</w:t>
      </w:r>
      <w:r>
        <w:t xml:space="preserve"> </w:t>
      </w:r>
      <w:r>
        <w:t xml:space="preserve">Practice</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9" w:name="X08558582d45b01641e66bf37849b39de6e0e58a"/>
    <w:p>
      <w:pPr>
        <w:pStyle w:val="Heading1"/>
      </w:pPr>
      <w:r>
        <w:t xml:space="preserve">Barcelona Dental Practice Sales Performance Report: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Management Team, Barcelona Dental Clinic</w:t>
      </w:r>
      <w:r>
        <w:br/>
      </w:r>
      <w:r>
        <w:rPr>
          <w:bCs/>
          <w:b/>
        </w:rPr>
        <w:t xml:space="preserve">Prepared By:</w:t>
      </w:r>
      <w:r>
        <w:t xml:space="preserve"> </w:t>
      </w:r>
      <w:r>
        <w:t xml:space="preserve">Business Development &amp; Sales Analysis Department</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for our dental practice operations across Spain Barcelona during the third quarter of 2024. The analysis confirms sustained growth in both patient acquisition and revenue generation within one of Europe's most dynamic dental markets. With a 15% year-over-year increase in total sales volume and a significant rise in high-margin cosmetic procedures, Barcelona's unique blend of medical tourism, affluent local demographics, and robust healthcare infrastructure continues to drive exceptional results for our practice. This report underscores the critical importance of adapting sales strategies specifically for the Spain Barcelona context to maintain competitive advantage.</w:t>
      </w:r>
    </w:p>
    <w:bookmarkEnd w:id="20"/>
    <w:bookmarkStart w:id="21" w:name="Xe6770658845ef76202e77218d865717b1b37102"/>
    <w:p>
      <w:pPr>
        <w:pStyle w:val="Heading2"/>
      </w:pPr>
      <w:r>
        <w:t xml:space="preserve">Market Context: Spain Barcelona Dental Landscape</w:t>
      </w:r>
    </w:p>
    <w:p>
      <w:pPr>
        <w:pStyle w:val="FirstParagraph"/>
      </w:pPr>
      <w:r>
        <w:t xml:space="preserve">Spain Barcelona presents a highly specialized dental market characterized by strong demand for premium care, significant medical tourism, and stringent regulatory compliance under the Spanish National Health System (SNS). The city attracts over 120,000 international dental tourists annually – primarily from Northern Europe and Latin America – seeking high-quality treatments at approximately 30-50% lower costs than equivalent services in their home countries. Concurrently, Barcelona's local population (over 1.6 million residents) exhibits high health literacy and a growing preference for preventative care and aesthetic dentistry, particularly within the Eixample, Sarrià-Sant Gervasi, and Poble Sec neighborhoods. Crucially, this market demands exceptional patient experience alongside clinical excellence to differentiate from competitors like DentalClinicBarcelona.com or ClinicDentalPoblenou.</w:t>
      </w:r>
    </w:p>
    <w:bookmarkEnd w:id="21"/>
    <w:bookmarkStart w:id="22" w:name="X9c6cc46edfd91fc5d523dab58a256acdd9dced0"/>
    <w:p>
      <w:pPr>
        <w:pStyle w:val="Heading2"/>
      </w:pPr>
      <w:r>
        <w:t xml:space="preserve">Key Sales Performance Metrics (Q3 2024 vs Q3 2023)</w:t>
      </w:r>
    </w:p>
    <w:p>
      <w:pPr>
        <w:pStyle w:val="FirstParagraph"/>
      </w:pPr>
      <w:r>
        <w:t xml:space="preserve">Performance Indicator</w:t>
      </w:r>
    </w:p>
    <w:p>
      <w:pPr>
        <w:pStyle w:val="BodyText"/>
      </w:pPr>
      <w:r>
        <w:t xml:space="preserve">Q3 2024</w:t>
      </w:r>
    </w:p>
    <w:p>
      <w:pPr>
        <w:pStyle w:val="BodyText"/>
      </w:pPr>
      <w:r>
        <w:t xml:space="preserve">Q3 2023</w:t>
      </w:r>
    </w:p>
    <w:p>
      <w:pPr>
        <w:pStyle w:val="BodyText"/>
      </w:pPr>
      <w:r>
        <w:t xml:space="preserve">Variance</w:t>
      </w:r>
    </w:p>
    <w:p>
      <w:pPr>
        <w:pStyle w:val="BodyText"/>
      </w:pPr>
      <w:r>
        <w:t xml:space="preserve">Total Revenue (€)</w:t>
      </w:r>
    </w:p>
    <w:p>
      <w:pPr>
        <w:pStyle w:val="BodyText"/>
      </w:pPr>
      <w:r>
        <w:t xml:space="preserve">187,500</w:t>
      </w:r>
    </w:p>
    <w:p>
      <w:pPr>
        <w:pStyle w:val="BodyText"/>
      </w:pPr>
      <w:r>
        <w:t xml:space="preserve">163,200</w:t>
      </w:r>
    </w:p>
    <w:p>
      <w:pPr>
        <w:pStyle w:val="BodyText"/>
      </w:pPr>
      <w:r>
        <w:t xml:space="preserve">+15.0%</w:t>
      </w:r>
    </w:p>
    <w:p>
      <w:pPr>
        <w:pStyle w:val="BodyText"/>
      </w:pPr>
      <w:r>
        <w:t xml:space="preserve">Number of Patient Visits</w:t>
      </w:r>
    </w:p>
    <w:p>
      <w:pPr>
        <w:pStyle w:val="BodyText"/>
      </w:pPr>
      <w:r>
        <w:t xml:space="preserve">427</w:t>
      </w:r>
    </w:p>
    <w:p>
      <w:pPr>
        <w:pStyle w:val="BodyText"/>
      </w:pPr>
      <w:r>
        <w:t xml:space="preserve">&lt;</w:t>
      </w:r>
    </w:p>
    <w:p>
      <w:pPr>
        <w:pStyle w:val="BodyText"/>
      </w:pPr>
      <w:r>
        <w:t xml:space="preserve">369</w:t>
      </w:r>
    </w:p>
    <w:p>
      <w:pPr>
        <w:pStyle w:val="BodyText"/>
      </w:pPr>
      <w:r>
        <w:t xml:space="preserve">+15.7%</w:t>
      </w:r>
    </w:p>
    <w:p>
      <w:pPr>
        <w:pStyle w:val="BodyText"/>
      </w:pPr>
      <w:r>
        <w:t xml:space="preserve">Average Transaction Value (€)</w:t>
      </w:r>
    </w:p>
    <w:p>
      <w:pPr>
        <w:pStyle w:val="BodyText"/>
      </w:pPr>
      <w:r>
        <w:t xml:space="preserve">439</w:t>
      </w:r>
    </w:p>
    <w:p>
      <w:pPr>
        <w:pStyle w:val="BodyText"/>
      </w:pPr>
      <w:r>
        <w:t xml:space="preserve">442</w:t>
      </w:r>
    </w:p>
    <w:p>
      <w:pPr>
        <w:pStyle w:val="BodyText"/>
      </w:pPr>
      <w:r>
        <w:t xml:space="preserve">-0.7%</w:t>
      </w:r>
    </w:p>
    <w:p>
      <w:pPr>
        <w:pStyle w:val="BodyText"/>
      </w:pPr>
      <w:r>
        <w:t xml:space="preserve">Cosmetic Procedures (Veneers, Implants, Whitening)</w:t>
      </w:r>
    </w:p>
    <w:p>
      <w:pPr>
        <w:pStyle w:val="BodyText"/>
      </w:pPr>
      <w:r>
        <w:t xml:space="preserve">18% of Revenue</w:t>
      </w:r>
    </w:p>
    <w:p>
      <w:pPr>
        <w:pStyle w:val="BodyText"/>
      </w:pPr>
      <w:r>
        <w:t xml:space="preserve">15% of Revenue</w:t>
      </w:r>
    </w:p>
    <w:p>
      <w:pPr>
        <w:pStyle w:val="BodyText"/>
      </w:pPr>
      <w:r>
        <w:t xml:space="preserve">+3 pts</w:t>
      </w:r>
    </w:p>
    <w:p>
      <w:pPr>
        <w:pStyle w:val="BodyText"/>
      </w:pPr>
      <w:r>
        <w:t xml:space="preserve">International Patient Ratio (New)</w:t>
      </w:r>
    </w:p>
    <w:p>
      <w:pPr>
        <w:pStyle w:val="BodyText"/>
      </w:pPr>
      <w:r>
        <w:t xml:space="preserve">28%</w:t>
      </w:r>
    </w:p>
    <w:p>
      <w:pPr>
        <w:pStyle w:val="BodyText"/>
      </w:pPr>
      <w:r>
        <w:t xml:space="preserve">23%</w:t>
      </w:r>
    </w:p>
    <w:p>
      <w:pPr>
        <w:pStyle w:val="BodyText"/>
      </w:pPr>
      <w:r>
        <w:t xml:space="preserve">+5 pts</w:t>
      </w:r>
    </w:p>
    <w:p>
      <w:pPr>
        <w:pStyle w:val="BodyText"/>
      </w:pPr>
      <w:r>
        <w:t xml:space="preserve">Patient Retention Rate (Repeat Visits)</w:t>
      </w:r>
    </w:p>
    <w:p>
      <w:pPr>
        <w:pStyle w:val="BodyText"/>
      </w:pPr>
      <w:r>
        <w:t xml:space="preserve">68%</w:t>
      </w:r>
    </w:p>
    <w:p>
      <w:pPr>
        <w:pStyle w:val="BodyText"/>
      </w:pPr>
      <w:r>
        <w:t xml:space="preserve">64%</w:t>
      </w:r>
    </w:p>
    <w:p>
      <w:pPr>
        <w:pStyle w:val="BodyText"/>
      </w:pPr>
      <w:r>
        <w:t xml:space="preserve">+4 pts</w:t>
      </w:r>
    </w:p>
    <w:bookmarkEnd w:id="22"/>
    <w:bookmarkStart w:id="26" w:name="Xa01e41ed86e713b32e7b110e8d34d69e837fece"/>
    <w:p>
      <w:pPr>
        <w:pStyle w:val="Heading2"/>
      </w:pPr>
      <w:r>
        <w:t xml:space="preserve">Strategic Analysis: Drivers of Sales Success in Barcelona</w:t>
      </w:r>
    </w:p>
    <w:p>
      <w:pPr>
        <w:pStyle w:val="FirstParagraph"/>
      </w:pPr>
      <w:r>
        <w:t xml:space="preserve">The 15% sales growth in Spain Barcelona is not accidental but stems from deliberate, location-specific strategies:</w:t>
      </w:r>
    </w:p>
    <w:bookmarkStart w:id="23" w:name="hyper-localized-digital-marketing"/>
    <w:p>
      <w:pPr>
        <w:pStyle w:val="Heading3"/>
      </w:pPr>
      <w:r>
        <w:t xml:space="preserve">1. Hyper-Localized Digital Marketing</w:t>
      </w:r>
    </w:p>
    <w:p>
      <w:pPr>
        <w:pStyle w:val="FirstParagraph"/>
      </w:pPr>
      <w:r>
        <w:t xml:space="preserve">We optimized SEO and Google Ads targeting "dentist Barcelona," "dental implants Spain," and "cosmetic dentistry Eixample" – capturing high-intent local searches. Crucially, we developed multilingual landing pages (Spanish, Catalan, English) addressing specific patient concerns in the Barcelona market. This approach generated 32% of new leads – a 22% increase over previous quarters. Local partnerships with Barcelona hotels (e.g., NH Collection) and travel agencies specializing in medical tourism proved highly effective for international patient acquisition.</w:t>
      </w:r>
    </w:p>
    <w:bookmarkEnd w:id="23"/>
    <w:bookmarkStart w:id="24" w:name="premium-service-bundling"/>
    <w:p>
      <w:pPr>
        <w:pStyle w:val="Heading3"/>
      </w:pPr>
      <w:r>
        <w:t xml:space="preserve">2. Premium Service Bundling</w:t>
      </w:r>
    </w:p>
    <w:p>
      <w:pPr>
        <w:pStyle w:val="FirstParagraph"/>
      </w:pPr>
      <w:r>
        <w:t xml:space="preserve">Beyond standard care, we introduced "Barcelona Dental Wellness Packages" – combining consultations, digital scans, treatment plans, and a guided tour of the city (including local attractions) at a fixed premium price. This 15% higher-value proposition resonated particularly well with international patients seeking holistic experiences in Spain Barcelona. These packages accounted for 22% of total cosmetic procedure revenue this quarter.</w:t>
      </w:r>
    </w:p>
    <w:bookmarkEnd w:id="24"/>
    <w:bookmarkStart w:id="25" w:name="regulatory-compliance-trust-building"/>
    <w:p>
      <w:pPr>
        <w:pStyle w:val="Heading3"/>
      </w:pPr>
      <w:r>
        <w:t xml:space="preserve">3. Regulatory Compliance &amp; Trust Building</w:t>
      </w:r>
    </w:p>
    <w:p>
      <w:pPr>
        <w:pStyle w:val="FirstParagraph"/>
      </w:pPr>
      <w:r>
        <w:t xml:space="preserve">Spain's strict dental licensing requirements and patient data protection laws (LOPDGDD) are non-negotiable in Barcelona. Our sales team underwent mandatory training on Spanish healthcare compliance, ensuring all marketing materials and patient communications adhered to the Catalan Dental Association standards. This transparency significantly boosted trust, especially among international patients verifying clinic credentials – a critical factor in Spain Barcelona's competitive dental tourism landscape.</w:t>
      </w:r>
    </w:p>
    <w:bookmarkEnd w:id="25"/>
    <w:bookmarkEnd w:id="26"/>
    <w:bookmarkStart w:id="27" w:name="challenges-actionable-insights-for-q4"/>
    <w:p>
      <w:pPr>
        <w:pStyle w:val="Heading2"/>
      </w:pPr>
      <w:r>
        <w:t xml:space="preserve">Challenges &amp; Actionable Insights for Q4</w:t>
      </w:r>
    </w:p>
    <w:p>
      <w:pPr>
        <w:pStyle w:val="FirstParagraph"/>
      </w:pPr>
      <w:r>
        <w:t xml:space="preserve">While performance is strong, two key challenges require urgent attention:</w:t>
      </w:r>
    </w:p>
    <w:p>
      <w:pPr>
        <w:numPr>
          <w:ilvl w:val="0"/>
          <w:numId w:val="1001"/>
        </w:numPr>
        <w:pStyle w:val="Compact"/>
      </w:pPr>
      <w:r>
        <w:rPr>
          <w:bCs/>
          <w:b/>
        </w:rPr>
        <w:t xml:space="preserve">Seasonal Demand Fluctuation:</w:t>
      </w:r>
      <w:r>
        <w:t xml:space="preserve"> </w:t>
      </w:r>
      <w:r>
        <w:t xml:space="preserve">Barcelona experiences a noticeable dip in international patients during September (post-summer tourism) and a surge in December (pre-holiday treatment demand). We will launch targeted "Pre-Holiday Smile Makeover" campaigns in late November, specifically promoting holiday-ready cosmetic procedures to capitalize on the Q4 peak.</w:t>
      </w:r>
    </w:p>
    <w:p>
      <w:pPr>
        <w:numPr>
          <w:ilvl w:val="0"/>
          <w:numId w:val="1001"/>
        </w:numPr>
        <w:pStyle w:val="Compact"/>
      </w:pPr>
      <w:r>
        <w:rPr>
          <w:bCs/>
          <w:b/>
        </w:rPr>
        <w:t xml:space="preserve">Insurance Coverage Gaps:</w:t>
      </w:r>
      <w:r>
        <w:t xml:space="preserve"> </w:t>
      </w:r>
      <w:r>
        <w:t xml:space="preserve">Only 65% of Barcelona residents have full private dental insurance coverage under Spain's system. This necessitates more flexible payment plans (e.g., 0% interest installments via partnerships with local banks like CaixaBank) to convert high-intent leads into patients. We will expand our in-clinic financing options by 20% before year-end.</w:t>
      </w:r>
    </w:p>
    <w:bookmarkEnd w:id="27"/>
    <w:bookmarkStart w:id="28" w:name="X527cc320d2738c9f816fd5bab579ec3c1b80bf9"/>
    <w:p>
      <w:pPr>
        <w:pStyle w:val="Heading2"/>
      </w:pPr>
      <w:r>
        <w:t xml:space="preserve">Conclusion: Sustaining Growth in Spain Barcelona</w:t>
      </w:r>
    </w:p>
    <w:p>
      <w:pPr>
        <w:pStyle w:val="FirstParagraph"/>
      </w:pPr>
      <w:r>
        <w:t xml:space="preserve">The Q3 2024 Sales Report unequivocally demonstrates that a dentist practice's success in Spain Barcelona hinges on deep market understanding, localized sales execution, and unwavering adherence to regional healthcare norms. Our focus on leveraging Barcelona's unique position as a global dental destination – coupled with premium service bundling and meticulous compliance – has driven significant revenue growth. The rising share of high-value cosmetic procedures and the 28% international patient ratio confirm we are effectively capturing the most lucrative segments of this market.</w:t>
      </w:r>
    </w:p>
    <w:p>
      <w:pPr>
        <w:pStyle w:val="BodyText"/>
      </w:pPr>
      <w:r>
        <w:t xml:space="preserve">As we move into Q4, the strategic emphasis will remain on converting Barcelona's seasonal peaks into sustained revenue streams through enhanced digital targeting, tailored financing options, and reinforcing our reputation as a trusted partner for both residents and international patients seeking exceptional dental care in Spain. This targeted approach – intrinsically tied to the specific dynamics of Spain Barcelona – is not merely beneficial; it is essential for continued market leadership within this sophisticated healthcare environment.</w:t>
      </w:r>
    </w:p>
    <w:p>
      <w:pPr>
        <w:pStyle w:val="BodyText"/>
      </w:pPr>
      <w:r>
        <w:rPr>
          <w:iCs/>
          <w:i/>
        </w:rPr>
        <w:t xml:space="preserve">Report End - Prepared in compliance with Spanish Commercial Code (Ley de Comercio) and Catalan Dental Association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Dental Practice Sales Performance Report - Q3 2024</dc:title>
  <dc:creator/>
  <dc:language>en</dc:language>
  <cp:keywords/>
  <dcterms:created xsi:type="dcterms:W3CDTF">2026-07-23T04:28:44Z</dcterms:created>
  <dcterms:modified xsi:type="dcterms:W3CDTF">2026-07-23T04:28:44Z</dcterms:modified>
</cp:coreProperties>
</file>

<file path=docProps/custom.xml><?xml version="1.0" encoding="utf-8"?>
<Properties xmlns="http://schemas.openxmlformats.org/officeDocument/2006/custom-properties" xmlns:vt="http://schemas.openxmlformats.org/officeDocument/2006/docPropsVTypes"/>
</file>