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Dental</w:t>
      </w:r>
      <w:r>
        <w:t xml:space="preserve"> </w:t>
      </w:r>
      <w:r>
        <w:t xml:space="preserve">Practice</w:t>
      </w:r>
      <w:r>
        <w:t xml:space="preserve"> </w:t>
      </w:r>
      <w:r>
        <w:t xml:space="preserve">Performance</w:t>
      </w:r>
      <w:r>
        <w:t xml:space="preserve"> </w:t>
      </w:r>
      <w:r>
        <w:t xml:space="preserve">in</w:t>
      </w:r>
      <w:r>
        <w:t xml:space="preserve"> </w:t>
      </w:r>
      <w:r>
        <w:t xml:space="preserve">Ankara,</w:t>
      </w:r>
      <w:r>
        <w:t xml:space="preserve"> </w:t>
      </w:r>
      <w:r>
        <w:t xml:space="preserve">Turkey</w:t>
      </w:r>
    </w:p>
    <w:bookmarkStart w:id="27" w:name="X1fddc515a8b8ca93c3e3d998a16e062c62793c4"/>
    <w:p>
      <w:pPr>
        <w:pStyle w:val="Heading1"/>
      </w:pPr>
      <w:r>
        <w:t xml:space="preserve">ANNUAL SALES REPORT: PREMIER DENTAL CARE PRACTICE IN ANKARA, TURKEY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Reporting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exceptional performance of our dental practice, "Ankara Smile Care," operating in the heart of Turkey Ankara. Serving over 4,850 patients annually across seven specialized clinics, we achieved a 17% year-over-year revenue growth, reaching ₺28.4 million (approximately $1.35 million USD). This success underscores our position as a leading</w:t>
      </w:r>
      <w:r>
        <w:t xml:space="preserve"> </w:t>
      </w:r>
      <w:r>
        <w:rPr>
          <w:bCs/>
          <w:b/>
        </w:rPr>
        <w:t xml:space="preserve">Dentist</w:t>
      </w:r>
      <w:r>
        <w:t xml:space="preserve"> </w:t>
      </w:r>
      <w:r>
        <w:t xml:space="preserve">practice in Turkey Ankara's competitive healthcare market. The report validates our strategic focus on premium services, community engagement, and technology integration within the unique cultural and economic landscape of Ankara.</w:t>
      </w:r>
    </w:p>
    <w:bookmarkEnd w:id="20"/>
    <w:bookmarkStart w:id="21" w:name="ii.-sales-performance-overview"/>
    <w:p>
      <w:pPr>
        <w:pStyle w:val="Heading2"/>
      </w:pPr>
      <w:r>
        <w:t xml:space="preserve">II. SALES PERFORMANCE OVERVIEW</w:t>
      </w:r>
    </w:p>
    <w:p>
      <w:pPr>
        <w:pStyle w:val="FirstParagraph"/>
      </w:pPr>
      <w:r>
        <w:rPr>
          <w:bCs/>
          <w:b/>
        </w:rPr>
        <w:t xml:space="preserve">Revenue Breakdown (2023 vs 2022):</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w:t>
            </w:r>
          </w:p>
        </w:tc>
        <w:tc>
          <w:tcPr/>
          <w:p>
            <w:pPr>
              <w:pStyle w:val="Compact"/>
              <w:jc w:val="left"/>
            </w:pPr>
            <w:r>
              <w:t xml:space="preserve">% of Total</w:t>
            </w:r>
          </w:p>
        </w:tc>
        <w:tc>
          <w:tcPr/>
          <w:p>
            <w:pPr>
              <w:pStyle w:val="Compact"/>
              <w:jc w:val="left"/>
            </w:pPr>
            <w:r>
              <w:t xml:space="preserve">Growth vs 2022</w:t>
            </w:r>
          </w:p>
        </w:tc>
      </w:tr>
      <w:tr>
        <w:tc>
          <w:tcPr/>
          <w:p>
            <w:pPr>
              <w:pStyle w:val="Compact"/>
              <w:jc w:val="left"/>
            </w:pPr>
            <w:r>
              <w:t xml:space="preserve">Preventive Care (Cleanings, Check-ups)</w:t>
            </w:r>
          </w:p>
        </w:tc>
        <w:tc>
          <w:tcPr/>
          <w:p>
            <w:pPr>
              <w:pStyle w:val="Compact"/>
              <w:jc w:val="left"/>
            </w:pPr>
            <w:r>
              <w:t xml:space="preserve">8,650,000</w:t>
            </w:r>
          </w:p>
        </w:tc>
        <w:tc>
          <w:tcPr/>
          <w:p>
            <w:pPr>
              <w:pStyle w:val="Compact"/>
              <w:jc w:val="left"/>
            </w:pPr>
            <w:r>
              <w:t xml:space="preserve">30.4%</w:t>
            </w:r>
          </w:p>
        </w:tc>
        <w:tc>
          <w:tcPr/>
          <w:p>
            <w:pPr>
              <w:pStyle w:val="Compact"/>
              <w:jc w:val="left"/>
            </w:pPr>
            <w:r>
              <w:t xml:space="preserve">+14%</w:t>
            </w:r>
          </w:p>
        </w:tc>
      </w:tr>
      <w:tr>
        <w:tc>
          <w:tcPr/>
          <w:p>
            <w:pPr>
              <w:pStyle w:val="Compact"/>
              <w:jc w:val="left"/>
            </w:pPr>
            <w:r>
              <w:t xml:space="preserve">Cosmetic Dentistry (Veneers, Whitening)</w:t>
            </w:r>
          </w:p>
        </w:tc>
        <w:tc>
          <w:tcPr/>
          <w:p>
            <w:pPr>
              <w:pStyle w:val="Compact"/>
              <w:jc w:val="left"/>
            </w:pPr>
            <w:r>
              <w:t xml:space="preserve">7,925,000</w:t>
            </w:r>
          </w:p>
        </w:tc>
        <w:tc>
          <w:tcPr/>
          <w:p>
            <w:pPr>
              <w:pStyle w:val="Compact"/>
              <w:jc w:val="left"/>
            </w:pPr>
            <w:r>
              <w:t xml:space="preserve">27.9%</w:t>
            </w:r>
          </w:p>
        </w:tc>
        <w:tc>
          <w:tcPr/>
          <w:p>
            <w:pPr>
              <w:pStyle w:val="Compact"/>
            </w:pPr>
          </w:p>
        </w:tc>
      </w:tr>
      <w:tr>
        <w:tc>
          <w:tcPr/>
          <w:p>
            <w:pPr>
              <w:pStyle w:val="Compact"/>
              <w:jc w:val="center"/>
            </w:pPr>
            <w:r>
              <w:t xml:space="preserve">HIGHLIGHTS:</w:t>
            </w:r>
          </w:p>
        </w:tc>
        <w:tc>
          <w:tcPr/>
          <w:p>
            <w:pPr>
              <w:pStyle w:val="Compact"/>
            </w:pPr>
          </w:p>
        </w:tc>
        <w:tc>
          <w:tcPr/>
          <w:p>
            <w:pPr>
              <w:pStyle w:val="Compact"/>
            </w:pPr>
          </w:p>
        </w:tc>
        <w:tc>
          <w:tcPr/>
          <w:p>
            <w:pPr>
              <w:pStyle w:val="Compact"/>
            </w:pPr>
          </w:p>
        </w:tc>
      </w:tr>
    </w:tbl>
    <w:p>
      <w:pPr>
        <w:pStyle w:val="BodyText"/>
      </w:pPr>
      <w:r>
        <w:t xml:space="preserve">Innovative marketing initiatives targeting Ankara's growing middle class drove a 32% increase in cosmetic procedures, positioning our practice as the preferred choice for aesthetic dental solutions across Turkey Ankara. The introduction of our "Ankara Dental Wellness Package" (combining preventive care with premium materials) contributed ₺5.1 million in new recurring revenue streams.</w:t>
      </w:r>
    </w:p>
    <w:bookmarkEnd w:id="21"/>
    <w:bookmarkStart w:id="22" w:name="iii.-turkey-ankara-market-dynamics"/>
    <w:p>
      <w:pPr>
        <w:pStyle w:val="Heading2"/>
      </w:pPr>
      <w:r>
        <w:t xml:space="preserve">III. TURKEY ANKARA MARKET DYNAMICS</w:t>
      </w:r>
    </w:p>
    <w:p>
      <w:pPr>
        <w:pStyle w:val="FirstParagraph"/>
      </w:pPr>
      <w:r>
        <w:t xml:space="preserve">Ankara's status as Turkey's political and cultural capital creates unique opportunities for dental excellence. With a population exceeding 5.6 million and rising disposable incomes, the city exhibits strong demand for quality oral healthcare services – particularly among professionals in government institutions (Ankara University, Ministry of Health) and corporate sectors (Koç Holding, Turkcell). This Sales Report confirms that our strategic location in Çankaya District (central Ankara) is pivotal: 68% of patients commute less than 15 minutes to our facilities.</w:t>
      </w:r>
    </w:p>
    <w:p>
      <w:pPr>
        <w:pStyle w:val="BodyText"/>
      </w:pPr>
      <w:r>
        <w:t xml:space="preserve">Our market share analysis reveals a critical insight: while Ankara has over 200 dental clinics, only 12% offer integrated digital solutions. Our investment in intraoral scanners and AI-driven treatment planning (implemented Q3 2023) directly addressed this gap, driving a 41% increase in complex case referrals from neighboring clinics.</w:t>
      </w:r>
    </w:p>
    <w:bookmarkEnd w:id="22"/>
    <w:bookmarkStart w:id="23" w:name="iv.-patient-satisfaction-retention"/>
    <w:p>
      <w:pPr>
        <w:pStyle w:val="Heading2"/>
      </w:pPr>
      <w:r>
        <w:t xml:space="preserve">IV. PATIENT SATISFACTION &amp; RETENTION</w:t>
      </w:r>
    </w:p>
    <w:p>
      <w:pPr>
        <w:pStyle w:val="FirstParagraph"/>
      </w:pPr>
      <w:r>
        <w:t xml:space="preserve">This Sales Report emphasizes patient-centric growth: Our Net Promoter Score (NPS) reached 82 in Ankara, surpassing the national average of 56. Key drivers include:</w:t>
      </w:r>
    </w:p>
    <w:p>
      <w:pPr>
        <w:numPr>
          <w:ilvl w:val="0"/>
          <w:numId w:val="1001"/>
        </w:numPr>
        <w:pStyle w:val="Compact"/>
      </w:pPr>
      <w:r>
        <w:t xml:space="preserve">Personalized care plans developed by our lead</w:t>
      </w:r>
      <w:r>
        <w:t xml:space="preserve"> </w:t>
      </w:r>
      <w:r>
        <w:rPr>
          <w:bCs/>
          <w:b/>
        </w:rPr>
        <w:t xml:space="preserve">Dentist</w:t>
      </w:r>
      <w:r>
        <w:t xml:space="preserve">, Dr. Elif Yılmaz (board-certified Turkish Dental Association)</w:t>
      </w:r>
    </w:p>
    <w:p>
      <w:pPr>
        <w:numPr>
          <w:ilvl w:val="0"/>
          <w:numId w:val="1001"/>
        </w:numPr>
        <w:pStyle w:val="Compact"/>
      </w:pPr>
      <w:r>
        <w:t xml:space="preserve">24/7 virtual consultations via our mobile app (used by 3,100+ patients)</w:t>
      </w:r>
    </w:p>
    <w:p>
      <w:pPr>
        <w:numPr>
          <w:ilvl w:val="0"/>
          <w:numId w:val="1001"/>
        </w:numPr>
        <w:pStyle w:val="Compact"/>
      </w:pPr>
      <w:r>
        <w:t xml:space="preserve">Culturally sensitive service delivery respecting Turkey Ankara's hospitality traditions</w:t>
      </w:r>
    </w:p>
    <w:p>
      <w:pPr>
        <w:pStyle w:val="FirstParagraph"/>
      </w:pPr>
      <w:r>
        <w:t xml:space="preserve">Repeat patient rate increased to 65% – significantly above the industry benchmark of 45%. This retention directly impacts our bottom line: Returning patients generate 3.7x more lifetime value than new patients, as documented in our annual Sales Report metrics.</w:t>
      </w:r>
    </w:p>
    <w:bookmarkEnd w:id="23"/>
    <w:bookmarkStart w:id="24" w:name="v.-key-challenges-strategic-responses"/>
    <w:p>
      <w:pPr>
        <w:pStyle w:val="Heading2"/>
      </w:pPr>
      <w:r>
        <w:t xml:space="preserve">V. KEY CHALLENGES &amp; STRATEGIC RESPONSES</w:t>
      </w:r>
    </w:p>
    <w:p>
      <w:pPr>
        <w:pStyle w:val="FirstParagraph"/>
      </w:pPr>
      <w:r>
        <w:t xml:space="preserve">Despite robust performance, this Sales Report identifies two critical challenges specific to Turkey Ankara:</w:t>
      </w:r>
    </w:p>
    <w:p>
      <w:pPr>
        <w:numPr>
          <w:ilvl w:val="0"/>
          <w:numId w:val="1002"/>
        </w:numPr>
        <w:pStyle w:val="Compact"/>
      </w:pPr>
      <w:r>
        <w:rPr>
          <w:bCs/>
          <w:b/>
        </w:rPr>
        <w:t xml:space="preserve">Seasonal Demand Fluctuations:</w:t>
      </w:r>
      <w:r>
        <w:t xml:space="preserve"> </w:t>
      </w:r>
      <w:r>
        <w:t xml:space="preserve">Lower patient volume in July/August (tourism season) impacted quarterly revenue. *Strategic Response:* Launched "Summer Smile Reset" campaign with 20% discounts on preventive care, maintaining steady monthly intake.</w:t>
      </w:r>
    </w:p>
    <w:p>
      <w:pPr>
        <w:numPr>
          <w:ilvl w:val="0"/>
          <w:numId w:val="1002"/>
        </w:numPr>
        <w:pStyle w:val="Compact"/>
      </w:pPr>
      <w:r>
        <w:rPr>
          <w:bCs/>
          <w:b/>
        </w:rPr>
        <w:t xml:space="preserve">Insurance Complexities:</w:t>
      </w:r>
      <w:r>
        <w:t xml:space="preserve"> </w:t>
      </w:r>
      <w:r>
        <w:t xml:space="preserve">Navigating Turkey's evolving dental insurance landscape caused billing delays. *Strategic Response:* Partnered with VakıfBank Insurance to streamline claims processing, reducing settlement time by 65%.</w:t>
      </w:r>
    </w:p>
    <w:p>
      <w:pPr>
        <w:pStyle w:val="FirstParagraph"/>
      </w:pPr>
      <w:r>
        <w:t xml:space="preserve">These solutions were directly implemented based on insights from our Ankara market analysis, proving our agility as a forward-thinking dental provider in Turkey.</w:t>
      </w:r>
    </w:p>
    <w:bookmarkEnd w:id="24"/>
    <w:bookmarkStart w:id="25" w:name="vi.-future-outlook-growth-strategy"/>
    <w:p>
      <w:pPr>
        <w:pStyle w:val="Heading2"/>
      </w:pPr>
      <w:r>
        <w:t xml:space="preserve">VI. FUTURE OUTLOOK &amp; GROWTH STRATEGY</w:t>
      </w:r>
    </w:p>
    <w:p>
      <w:pPr>
        <w:pStyle w:val="FirstParagraph"/>
      </w:pPr>
      <w:r>
        <w:t xml:space="preserve">Based on this Sales Report data, we project 20% revenue growth for 2024 through three targeted initiatives:</w:t>
      </w:r>
    </w:p>
    <w:p>
      <w:pPr>
        <w:numPr>
          <w:ilvl w:val="0"/>
          <w:numId w:val="1003"/>
        </w:numPr>
        <w:pStyle w:val="Compact"/>
      </w:pPr>
      <w:r>
        <w:rPr>
          <w:bCs/>
          <w:b/>
        </w:rPr>
        <w:t xml:space="preserve">New Clinic Expansion:</w:t>
      </w:r>
      <w:r>
        <w:t xml:space="preserve"> </w:t>
      </w:r>
      <w:r>
        <w:t xml:space="preserve">Opening a second location in Kavaklidere (Ankara's emerging upscale district) by Q2 2024, targeting high-income families with specialized pediatric dentistry.</w:t>
      </w:r>
    </w:p>
    <w:p>
      <w:pPr>
        <w:numPr>
          <w:ilvl w:val="0"/>
          <w:numId w:val="1003"/>
        </w:numPr>
        <w:pStyle w:val="Compact"/>
      </w:pPr>
      <w:r>
        <w:rPr>
          <w:bCs/>
          <w:b/>
        </w:rPr>
        <w:t xml:space="preserve">Digital Transformation:</w:t>
      </w:r>
      <w:r>
        <w:t xml:space="preserve"> </w:t>
      </w:r>
      <w:r>
        <w:t xml:space="preserve">Integrating tele-dentistry platforms for remote consultations across Turkey Ankara's satellite cities (Yenimahalle, Sincan).</w:t>
      </w:r>
    </w:p>
    <w:p>
      <w:pPr>
        <w:numPr>
          <w:ilvl w:val="0"/>
          <w:numId w:val="1003"/>
        </w:numPr>
        <w:pStyle w:val="Compact"/>
      </w:pPr>
      <w:r>
        <w:rPr>
          <w:bCs/>
          <w:b/>
        </w:rPr>
        <w:t xml:space="preserve">Community Health Partnerships:</w:t>
      </w:r>
      <w:r>
        <w:t xml:space="preserve"> </w:t>
      </w:r>
      <w:r>
        <w:t xml:space="preserve">Collaborating with Ankara Metropolitan Municipality on free dental screenings for 10,000 low-income residents – enhancing brand reputation while generating new patient leads.</w:t>
      </w:r>
    </w:p>
    <w:p>
      <w:pPr>
        <w:pStyle w:val="FirstParagraph"/>
      </w:pPr>
      <w:r>
        <w:t xml:space="preserve">Crucially, our 2024 strategy addresses the core need of modern patients in Turkey Ankara: convenience without compromising quality. This aligns with our vision that a premier</w:t>
      </w:r>
      <w:r>
        <w:t xml:space="preserve"> </w:t>
      </w:r>
      <w:r>
        <w:rPr>
          <w:bCs/>
          <w:b/>
        </w:rPr>
        <w:t xml:space="preserve">Dentist</w:t>
      </w:r>
      <w:r>
        <w:t xml:space="preserve"> </w:t>
      </w:r>
      <w:r>
        <w:t xml:space="preserve">practice must be both technologically advanced and deeply community-rooted.</w:t>
      </w:r>
    </w:p>
    <w:bookmarkEnd w:id="25"/>
    <w:bookmarkStart w:id="26" w:name="vii.-conclusion"/>
    <w:p>
      <w:pPr>
        <w:pStyle w:val="Heading2"/>
      </w:pPr>
      <w:r>
        <w:t xml:space="preserve">VII. CONCLUSION</w:t>
      </w:r>
    </w:p>
    <w:p>
      <w:pPr>
        <w:pStyle w:val="FirstParagraph"/>
      </w:pPr>
      <w:r>
        <w:t xml:space="preserve">This Sales Report unequivocally demonstrates that "Ankara Smile Care" has established itself as a benchmark for excellence among dental practices in Turkey Ankara. Our 17% revenue growth stems from understanding the unique blend of Turkish cultural values and Ankara's urban healthcare demands – where patients seek not just clinical expertise, but compassionate care within a familiar social context.</w:t>
      </w:r>
    </w:p>
    <w:p>
      <w:pPr>
        <w:pStyle w:val="BodyText"/>
      </w:pPr>
      <w:r>
        <w:t xml:space="preserve">As we move into 2024, every strategic decision will reinforce our core commitment: to deliver exceptional dental outcomes while embodying the trust and warmth synonymous with Turkish hospitality. This Sales Report is more than financial documentation; it's a testament to how a dedicated</w:t>
      </w:r>
      <w:r>
        <w:t xml:space="preserve"> </w:t>
      </w:r>
      <w:r>
        <w:rPr>
          <w:bCs/>
          <w:b/>
        </w:rPr>
        <w:t xml:space="preserve">Dentist</w:t>
      </w:r>
      <w:r>
        <w:t xml:space="preserve"> </w:t>
      </w:r>
      <w:r>
        <w:t xml:space="preserve">practice can thrive by harmonizing medical excellence with profound local understanding in Turkey Ankara. We remain confident that our patient-first approach will continue to drive sustainable growth across the region, setting new standards for dental care throughout Turkey.</w:t>
      </w:r>
    </w:p>
    <w:p>
      <w:pPr>
        <w:pStyle w:val="BodyText"/>
      </w:pPr>
      <w:r>
        <w:rPr>
          <w:bCs/>
          <w:b/>
        </w:rPr>
        <w:t xml:space="preserve">Prepared By:</w:t>
      </w:r>
      <w:r>
        <w:t xml:space="preserve"> </w:t>
      </w:r>
      <w:r>
        <w:t xml:space="preserve">Mehmet Çelik, Director of Operations</w:t>
      </w:r>
      <w:r>
        <w:br/>
      </w:r>
      <w:r>
        <w:rPr>
          <w:bCs/>
          <w:b/>
        </w:rPr>
        <w:t xml:space="preserve">Contact:</w:t>
      </w:r>
      <w:r>
        <w:t xml:space="preserve"> </w:t>
      </w:r>
      <w:r>
        <w:t xml:space="preserve">info@ankarasmilecare.com | +90 312 555 00 44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Dental Practice Performance in Ankara, Turkey</dc:title>
  <dc:creator/>
  <dc:language>en</dc:language>
  <cp:keywords/>
  <dcterms:created xsi:type="dcterms:W3CDTF">2026-07-21T06:39:51Z</dcterms:created>
  <dcterms:modified xsi:type="dcterms:W3CDTF">2026-07-21T06:39:51Z</dcterms:modified>
</cp:coreProperties>
</file>

<file path=docProps/custom.xml><?xml version="1.0" encoding="utf-8"?>
<Properties xmlns="http://schemas.openxmlformats.org/officeDocument/2006/custom-properties" xmlns:vt="http://schemas.openxmlformats.org/officeDocument/2006/docPropsVTypes"/>
</file>