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Analysis</w:t>
      </w:r>
    </w:p>
    <w:bookmarkStart w:id="28" w:name="X7020d0ace31701dc8d913d5f5d27113ccf34080"/>
    <w:p>
      <w:pPr>
        <w:pStyle w:val="Heading1"/>
      </w:pPr>
      <w:r>
        <w:t xml:space="preserve">DENTIST SALES REPORT</w:t>
      </w:r>
      <w:r>
        <w:br/>
      </w:r>
      <w:r>
        <w:t xml:space="preserve">Q1 2024 MARKET ANALYSIS FOR TURKEY ISTANBUL</w:t>
      </w:r>
    </w:p>
    <w:p>
      <w:pPr>
        <w:pStyle w:val="FirstParagraph"/>
      </w:pPr>
      <w:r>
        <w:t xml:space="preserve">Prepared for Dental Excellence Istanbul Management | March 31, 2024</w:t>
      </w:r>
    </w:p>
    <w:bookmarkStart w:id="20" w:name="executive-summary"/>
    <w:p>
      <w:pPr>
        <w:pStyle w:val="Heading2"/>
      </w:pPr>
      <w:r>
        <w:t xml:space="preserve">Executive Summary</w:t>
      </w:r>
    </w:p>
    <w:p>
      <w:pPr>
        <w:pStyle w:val="FirstParagraph"/>
      </w:pPr>
      <w:r>
        <w:t xml:space="preserve">This comprehensive Sales Report details the operational performance of Dental Excellence Istanbul, a premier dental practice serving Turkey's largest metropolitan center. The first quarter of 2024 demonstrated exceptional growth across all service lines, with a 38% year-over-year increase in patient volume and a 29% rise in total revenue. These results position our clinic as one of Istanbul's fastest-growing dental practices within the competitive Turkey Istanbul market. Key drivers include strategic expansion of cosmetic dentistry services, effective digital marketing targeting expatriate communities, and enhanced patient retention through personalized care protocols.</w:t>
      </w:r>
    </w:p>
    <w:bookmarkEnd w:id="20"/>
    <w:bookmarkStart w:id="23" w:name="Xee83fe9a0a21cf94219d5f773b7de3f644f5a95"/>
    <w:p>
      <w:pPr>
        <w:pStyle w:val="Heading2"/>
      </w:pPr>
      <w:r>
        <w:t xml:space="preserve">Sales Performance Breakdown (January-March 2024)</w:t>
      </w:r>
    </w:p>
    <w:bookmarkStart w:id="21" w:name="service-line-revenue-analysis"/>
    <w:p>
      <w:pPr>
        <w:pStyle w:val="Heading3"/>
      </w:pPr>
      <w:r>
        <w:t xml:space="preserve">Service Line Revenue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(TRY)</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Cosmetic Dentistry (Veneers, Whitening)</w:t>
            </w:r>
          </w:p>
        </w:tc>
        <w:tc>
          <w:tcPr/>
          <w:p>
            <w:pPr>
              <w:pStyle w:val="Compact"/>
              <w:jc w:val="left"/>
            </w:pPr>
            <w:r>
              <w:t xml:space="preserve">1,245,000</w:t>
            </w:r>
          </w:p>
        </w:tc>
        <w:tc>
          <w:tcPr/>
          <w:p>
            <w:pPr>
              <w:pStyle w:val="Compact"/>
              <w:jc w:val="left"/>
            </w:pPr>
            <w:r>
              <w:t xml:space="preserve">38.7%</w:t>
            </w:r>
          </w:p>
        </w:tc>
        <w:tc>
          <w:tcPr/>
          <w:p>
            <w:pPr>
              <w:pStyle w:val="Compact"/>
              <w:jc w:val="left"/>
            </w:pPr>
            <w:r>
              <w:t xml:space="preserve">+52.3%</w:t>
            </w:r>
          </w:p>
        </w:tc>
      </w:tr>
      <w:tr>
        <w:tc>
          <w:tcPr/>
          <w:p>
            <w:pPr>
              <w:pStyle w:val="Compact"/>
              <w:jc w:val="left"/>
            </w:pPr>
            <w:r>
              <w:t xml:space="preserve">Restorative Services (Crowns, Fillings)</w:t>
            </w:r>
          </w:p>
        </w:tc>
        <w:tc>
          <w:tcPr/>
          <w:p>
            <w:pPr>
              <w:pStyle w:val="Compact"/>
              <w:jc w:val="left"/>
            </w:pPr>
            <w:r>
              <w:t xml:space="preserve">987,000</w:t>
            </w:r>
          </w:p>
        </w:tc>
        <w:tc>
          <w:tcPr/>
          <w:p>
            <w:pPr>
              <w:pStyle w:val="Compact"/>
              <w:jc w:val="left"/>
            </w:pPr>
            <w:r>
              <w:t xml:space="preserve">30.8%</w:t>
            </w:r>
          </w:p>
        </w:tc>
        <w:tc>
          <w:tcPr/>
          <w:p>
            <w:pPr>
              <w:pStyle w:val="Compact"/>
              <w:jc w:val="left"/>
            </w:pPr>
            <w:r>
              <w:t xml:space="preserve">+22.1%</w:t>
            </w:r>
          </w:p>
        </w:tc>
      </w:tr>
      <w:tr>
        <w:tc>
          <w:tcPr/>
          <w:p>
            <w:pPr>
              <w:pStyle w:val="Compact"/>
              <w:jc w:val="left"/>
            </w:pPr>
            <w:r>
              <w:t xml:space="preserve">Dental Implants</w:t>
            </w:r>
          </w:p>
        </w:tc>
        <w:tc>
          <w:tcPr/>
          <w:p>
            <w:pPr>
              <w:pStyle w:val="Compact"/>
              <w:jc w:val="left"/>
            </w:pPr>
            <w:r>
              <w:t xml:space="preserve">675,000</w:t>
            </w:r>
          </w:p>
        </w:tc>
        <w:tc>
          <w:tcPr/>
          <w:p>
            <w:pPr>
              <w:pStyle w:val="Compact"/>
              <w:jc w:val="left"/>
            </w:pPr>
            <w:r>
              <w:t xml:space="preserve">21.1%</w:t>
            </w:r>
          </w:p>
        </w:tc>
        <w:tc>
          <w:tcPr/>
          <w:p>
            <w:pPr>
              <w:pStyle w:val="Compact"/>
              <w:jc w:val="left"/>
            </w:pPr>
            <w:r>
              <w:t xml:space="preserve">+34.6%</w:t>
            </w:r>
          </w:p>
        </w:tc>
      </w:tr>
      <w:tr>
        <w:tc>
          <w:tcPr/>
          <w:p>
            <w:pPr>
              <w:pStyle w:val="Compact"/>
              <w:jc w:val="left"/>
            </w:pPr>
            <w:r>
              <w:t xml:space="preserve">Pediatric Dentistry</w:t>
            </w:r>
          </w:p>
        </w:tc>
        <w:tc>
          <w:tcPr/>
          <w:p>
            <w:pPr>
              <w:pStyle w:val="Compact"/>
              <w:jc w:val="left"/>
            </w:pPr>
            <w:r>
              <w:t xml:space="preserve">152,000</w:t>
            </w:r>
          </w:p>
        </w:tc>
        <w:tc>
          <w:tcPr/>
          <w:p>
            <w:pPr>
              <w:pStyle w:val="Compact"/>
              <w:jc w:val="left"/>
            </w:pPr>
            <w:r>
              <w:t xml:space="preserve">4.7%</w:t>
            </w:r>
          </w:p>
        </w:tc>
        <w:tc>
          <w:tcPr/>
          <w:p>
            <w:pPr>
              <w:pStyle w:val="Compact"/>
              <w:jc w:val="left"/>
            </w:pPr>
            <w:r>
              <w:t xml:space="preserve">+18.2%</w:t>
            </w:r>
          </w:p>
        </w:tc>
      </w:tr>
      <w:tr>
        <w:tc>
          <w:tcPr/>
          <w:p>
            <w:pPr>
              <w:pStyle w:val="Compact"/>
              <w:jc w:val="left"/>
            </w:pPr>
            <w:r>
              <w:rPr>
                <w:bCs/>
                <w:b/>
              </w:rPr>
              <w:t xml:space="preserve">Total Revenue</w:t>
            </w:r>
          </w:p>
        </w:tc>
        <w:tc>
          <w:tcPr/>
          <w:p>
            <w:pPr>
              <w:pStyle w:val="Compact"/>
              <w:jc w:val="left"/>
            </w:pPr>
            <w:r>
              <w:rPr>
                <w:bCs/>
                <w:b/>
              </w:rPr>
              <w:t xml:space="preserve">3,259,000</w:t>
            </w:r>
          </w:p>
        </w:tc>
        <w:tc>
          <w:tcPr/>
          <w:p>
            <w:pPr>
              <w:pStyle w:val="Compact"/>
              <w:jc w:val="left"/>
            </w:pPr>
            <w:r>
              <w:rPr>
                <w:bCs/>
                <w:b/>
              </w:rPr>
              <w:t xml:space="preserve">100%</w:t>
            </w:r>
          </w:p>
        </w:tc>
        <w:tc>
          <w:tcPr/>
          <w:p>
            <w:pPr>
              <w:pStyle w:val="Compact"/>
              <w:jc w:val="left"/>
            </w:pPr>
            <w:r>
              <w:rPr>
                <w:bCs/>
                <w:b/>
              </w:rPr>
              <w:t xml:space="preserve">+29.1%</w:t>
            </w:r>
          </w:p>
        </w:tc>
      </w:tr>
    </w:tbl>
    <w:bookmarkEnd w:id="21"/>
    <w:bookmarkStart w:id="22" w:name="patient-demographics-market-penetration"/>
    <w:p>
      <w:pPr>
        <w:pStyle w:val="Heading3"/>
      </w:pPr>
      <w:r>
        <w:t xml:space="preserve">Patient Demographics &amp; Market Penetration</w:t>
      </w:r>
    </w:p>
    <w:p>
      <w:pPr>
        <w:pStyle w:val="FirstParagraph"/>
      </w:pPr>
      <w:r>
        <w:t xml:space="preserve">Our Sales Report reveals significant shifts in patient composition within Turkey Istanbul's dental market. The practice achieved remarkable success with two key segments:</w:t>
      </w:r>
    </w:p>
    <w:p>
      <w:pPr>
        <w:numPr>
          <w:ilvl w:val="0"/>
          <w:numId w:val="1001"/>
        </w:numPr>
        <w:pStyle w:val="Compact"/>
      </w:pPr>
      <w:r>
        <w:rPr>
          <w:bCs/>
          <w:b/>
        </w:rPr>
        <w:t xml:space="preserve">Expatriate Community (35% of patients):</w:t>
      </w:r>
      <w:r>
        <w:t xml:space="preserve"> </w:t>
      </w:r>
      <w:r>
        <w:t xml:space="preserve">Increased by 47% YoY, primarily from Western European and North American business professionals seeking high-standard care with English-speaking dentists. This segment contributed disproportionately to our cosmetic dentistry revenue.</w:t>
      </w:r>
    </w:p>
    <w:p>
      <w:pPr>
        <w:numPr>
          <w:ilvl w:val="0"/>
          <w:numId w:val="1001"/>
        </w:numPr>
        <w:pStyle w:val="Compact"/>
      </w:pPr>
      <w:r>
        <w:rPr>
          <w:bCs/>
          <w:b/>
        </w:rPr>
        <w:t xml:space="preserve">Middle-Class Turkish Families (60% of patients):</w:t>
      </w:r>
      <w:r>
        <w:t xml:space="preserve"> </w:t>
      </w:r>
      <w:r>
        <w:t xml:space="preserve">Demonstrated strong growth in implant services (28% increase) as awareness of long-term dental health solutions rises in Istanbul's urban centers.</w:t>
      </w:r>
    </w:p>
    <w:p>
      <w:pPr>
        <w:pStyle w:val="FirstParagraph"/>
      </w:pPr>
      <w:r>
        <w:t xml:space="preserve">Notably, 78% of new patients originated from digital channels (Google Ads targeting "dentist Istanbul" keywords and social media campaigns), highlighting the effectiveness of our market positioning within Turkey's evolving dental tourism landscape.</w:t>
      </w:r>
    </w:p>
    <w:bookmarkEnd w:id="22"/>
    <w:bookmarkEnd w:id="23"/>
    <w:bookmarkStart w:id="24" w:name="X4666e01afe536e6b34ac67b707a44812e8ff317"/>
    <w:p>
      <w:pPr>
        <w:pStyle w:val="Heading2"/>
      </w:pPr>
      <w:r>
        <w:t xml:space="preserve">Market Analysis: Turkey Istanbul Dental Sector Trends</w:t>
      </w:r>
    </w:p>
    <w:p>
      <w:pPr>
        <w:pStyle w:val="FirstParagraph"/>
      </w:pPr>
      <w:r>
        <w:t xml:space="preserve">As documented in our Sales Report, the dental industry in Turkey Istanbul has undergone significant transformation. The city's status as a global medical tourism hub (attracting over 1.3 million international patients annually) directly benefits local dental practices like ours. Key trends identified include:</w:t>
      </w:r>
    </w:p>
    <w:p>
      <w:pPr>
        <w:numPr>
          <w:ilvl w:val="0"/>
          <w:numId w:val="1002"/>
        </w:numPr>
        <w:pStyle w:val="Compact"/>
      </w:pPr>
      <w:r>
        <w:rPr>
          <w:bCs/>
          <w:b/>
        </w:rPr>
        <w:t xml:space="preserve">Shift to Premium Services:</w:t>
      </w:r>
      <w:r>
        <w:t xml:space="preserve"> </w:t>
      </w:r>
      <w:r>
        <w:t xml:space="preserve">Patients increasingly prioritize aesthetic outcomes over basic care, driving demand for cosmetic dentistry that aligns with our practice's core offerings.</w:t>
      </w:r>
    </w:p>
    <w:p>
      <w:pPr>
        <w:numPr>
          <w:ilvl w:val="0"/>
          <w:numId w:val="1002"/>
        </w:numPr>
        <w:pStyle w:val="Compact"/>
      </w:pPr>
      <w:r>
        <w:rPr>
          <w:bCs/>
          <w:b/>
        </w:rPr>
        <w:t xml:space="preserve">Digital Integration:</w:t>
      </w:r>
      <w:r>
        <w:t xml:space="preserve"> </w:t>
      </w:r>
      <w:r>
        <w:t xml:space="preserve">Over 65% of new patients research clinics online before booking—our SEO-optimized website and virtual consultations have become critical conversion tools.</w:t>
      </w:r>
    </w:p>
    <w:p>
      <w:pPr>
        <w:numPr>
          <w:ilvl w:val="0"/>
          <w:numId w:val="1002"/>
        </w:numPr>
        <w:pStyle w:val="Compact"/>
      </w:pPr>
      <w:r>
        <w:rPr>
          <w:bCs/>
          <w:b/>
        </w:rPr>
        <w:t xml:space="preserve">Insurance Evolution:</w:t>
      </w:r>
      <w:r>
        <w:t xml:space="preserve"> </w:t>
      </w:r>
      <w:r>
        <w:t xml:space="preserve">While private insurance penetration remains moderate (28% of Turkish patients), we've partnered with three major insurers to expand accessible premium services, capturing a growing market segment.</w:t>
      </w:r>
    </w:p>
    <w:p>
      <w:pPr>
        <w:pStyle w:val="FirstParagraph"/>
      </w:pPr>
      <w:r>
        <w:t xml:space="preserve">The competitive landscape shows both opportunities and challenges. With Istanbul's dental clinics increasing by 15% annually (per Turkish Ministry of Health data), our focus on specialized dentist expertise and personalized patient journeys has been instrumental in outperforming the sector average.</w:t>
      </w:r>
    </w:p>
    <w:bookmarkEnd w:id="24"/>
    <w:bookmarkStart w:id="25" w:name="strategic-challenges-opportunities"/>
    <w:p>
      <w:pPr>
        <w:pStyle w:val="Heading2"/>
      </w:pPr>
      <w:r>
        <w:t xml:space="preserve">Strategic Challenges &amp; Opportunities</w:t>
      </w:r>
    </w:p>
    <w:p>
      <w:pPr>
        <w:pStyle w:val="FirstParagraph"/>
      </w:pPr>
      <w:r>
        <w:t xml:space="preserve">Our Sales Report identifies two critical challenges requiring immediate attention:</w:t>
      </w:r>
    </w:p>
    <w:p>
      <w:pPr>
        <w:numPr>
          <w:ilvl w:val="0"/>
          <w:numId w:val="1003"/>
        </w:numPr>
        <w:pStyle w:val="Compact"/>
      </w:pPr>
      <w:r>
        <w:rPr>
          <w:bCs/>
          <w:b/>
        </w:rPr>
        <w:t xml:space="preserve">Supply Chain Volatility:</w:t>
      </w:r>
      <w:r>
        <w:t xml:space="preserve"> </w:t>
      </w:r>
      <w:r>
        <w:t xml:space="preserve">Rising costs of premium dental materials (up 18% YoY) threaten profit margins. We're negotiating bulk contracts with German and Swiss suppliers to mitigate this.</w:t>
      </w:r>
    </w:p>
    <w:p>
      <w:pPr>
        <w:numPr>
          <w:ilvl w:val="0"/>
          <w:numId w:val="1003"/>
        </w:numPr>
        <w:pStyle w:val="Compact"/>
      </w:pPr>
      <w:r>
        <w:rPr>
          <w:bCs/>
          <w:b/>
        </w:rPr>
        <w:t xml:space="preserve">Talent Acquisition:</w:t>
      </w:r>
      <w:r>
        <w:t xml:space="preserve"> </w:t>
      </w:r>
      <w:r>
        <w:t xml:space="preserve">Competition for experienced Turkish dentists has intensified, with salaries increasing by 22% in Istanbul's premium clinics. Our retention program now includes performance-based bonuses.</w:t>
      </w:r>
    </w:p>
    <w:p>
      <w:pPr>
        <w:pStyle w:val="FirstParagraph"/>
      </w:pPr>
      <w:r>
        <w:t xml:space="preserve">Concurrently, we've identified three high-potential opportunities:</w:t>
      </w:r>
    </w:p>
    <w:p>
      <w:pPr>
        <w:numPr>
          <w:ilvl w:val="0"/>
          <w:numId w:val="1004"/>
        </w:numPr>
        <w:pStyle w:val="Compact"/>
      </w:pPr>
      <w:r>
        <w:rPr>
          <w:bCs/>
          <w:b/>
        </w:rPr>
        <w:t xml:space="preserve">Dental Tourism Expansion:</w:t>
      </w:r>
      <w:r>
        <w:t xml:space="preserve"> </w:t>
      </w:r>
      <w:r>
        <w:t xml:space="preserve">Partnering with Istanbul-based travel agencies to create "Smile Packages" for international patients (currently driving 35% of our cosmetic dentistry revenue).</w:t>
      </w:r>
    </w:p>
    <w:p>
      <w:pPr>
        <w:numPr>
          <w:ilvl w:val="0"/>
          <w:numId w:val="1004"/>
        </w:numPr>
        <w:pStyle w:val="Compact"/>
      </w:pPr>
      <w:r>
        <w:rPr>
          <w:bCs/>
          <w:b/>
        </w:rPr>
        <w:t xml:space="preserve">Tele-Dentistry Services:</w:t>
      </w:r>
      <w:r>
        <w:t xml:space="preserve"> </w:t>
      </w:r>
      <w:r>
        <w:t xml:space="preserve">Launching virtual follow-up consultations to reduce no-shows and serve remote clients in Ankara, Antalya, and beyond.</w:t>
      </w:r>
    </w:p>
    <w:p>
      <w:pPr>
        <w:numPr>
          <w:ilvl w:val="0"/>
          <w:numId w:val="1004"/>
        </w:numPr>
        <w:pStyle w:val="Compact"/>
      </w:pPr>
      <w:r>
        <w:rPr>
          <w:bCs/>
          <w:b/>
        </w:rPr>
        <w:t xml:space="preserve">Middle-Market Implant Program:</w:t>
      </w:r>
      <w:r>
        <w:t xml:space="preserve"> </w:t>
      </w:r>
      <w:r>
        <w:t xml:space="preserve">Developing financing plans for Turkish patients seeking cost-effective implant solutions without compromising quality.</w:t>
      </w:r>
    </w:p>
    <w:bookmarkEnd w:id="25"/>
    <w:bookmarkStart w:id="26" w:name="recommendations-for-sustainable-growth"/>
    <w:p>
      <w:pPr>
        <w:pStyle w:val="Heading2"/>
      </w:pPr>
      <w:r>
        <w:t xml:space="preserve">Recommendations for Sustainable Growth</w:t>
      </w:r>
    </w:p>
    <w:p>
      <w:pPr>
        <w:pStyle w:val="FirstParagraph"/>
      </w:pPr>
      <w:r>
        <w:t xml:space="preserve">Based on our comprehensive Sales Report, we recommend the following strategic initiatives for Q3-Q4 2024:</w:t>
      </w:r>
    </w:p>
    <w:p>
      <w:pPr>
        <w:numPr>
          <w:ilvl w:val="0"/>
          <w:numId w:val="1005"/>
        </w:numPr>
        <w:pStyle w:val="Compact"/>
      </w:pPr>
      <w:r>
        <w:rPr>
          <w:bCs/>
          <w:b/>
        </w:rPr>
        <w:t xml:space="preserve">Invest in Digital Marketing:</w:t>
      </w:r>
      <w:r>
        <w:t xml:space="preserve"> </w:t>
      </w:r>
      <w:r>
        <w:t xml:space="preserve">Allocate additional budget to geo-targeted Instagram/Facebook ads focusing on "dentist Istanbul" and "cosmetic dentistry Turkey" keywords, with a specific campaign for German and Russian expatriate communities.</w:t>
      </w:r>
    </w:p>
    <w:p>
      <w:pPr>
        <w:numPr>
          <w:ilvl w:val="0"/>
          <w:numId w:val="1005"/>
        </w:numPr>
        <w:pStyle w:val="Compact"/>
      </w:pPr>
      <w:r>
        <w:rPr>
          <w:bCs/>
          <w:b/>
        </w:rPr>
        <w:t xml:space="preserve">Expand Specialty Services:</w:t>
      </w:r>
      <w:r>
        <w:t xml:space="preserve"> </w:t>
      </w:r>
      <w:r>
        <w:t xml:space="preserve">Open a dedicated pediatric wing to capture more Turkish families, addressing the current 27% gap in this market segment.</w:t>
      </w:r>
    </w:p>
    <w:p>
      <w:pPr>
        <w:numPr>
          <w:ilvl w:val="0"/>
          <w:numId w:val="1005"/>
        </w:numPr>
        <w:pStyle w:val="Compact"/>
      </w:pPr>
      <w:r>
        <w:rPr>
          <w:bCs/>
          <w:b/>
        </w:rPr>
        <w:t xml:space="preserve">Develop Loyalty Program:</w:t>
      </w:r>
      <w:r>
        <w:t xml:space="preserve"> </w:t>
      </w:r>
      <w:r>
        <w:t xml:space="preserve">Implement a points-based system for repeat patients (e.g., 5% discount on second procedure), targeting our high-retention base of 42% returning patients.</w:t>
      </w:r>
    </w:p>
    <w:bookmarkEnd w:id="26"/>
    <w:bookmarkStart w:id="27" w:name="conclusion"/>
    <w:p>
      <w:pPr>
        <w:pStyle w:val="Heading2"/>
      </w:pPr>
      <w:r>
        <w:t xml:space="preserve">Conclusion</w:t>
      </w:r>
    </w:p>
    <w:p>
      <w:pPr>
        <w:pStyle w:val="FirstParagraph"/>
      </w:pPr>
      <w:r>
        <w:t xml:space="preserve">The Q1 Sales Report confirms Dental Excellence Istanbul's position as a market leader in Turkey's dynamic dental sector. Our strategic focus on premium cosmetic services, digital patient acquisition, and tailored care for both local and international communities has driven exceptional growth. As we continue to serve the diverse population of Istanbul, our commitment to maintaining the highest standards of dental care—while adapting to Turkey Istanbul's unique market demands—positions us for sustained success.</w:t>
      </w:r>
    </w:p>
    <w:p>
      <w:pPr>
        <w:pStyle w:val="BodyText"/>
      </w:pPr>
      <w:r>
        <w:t xml:space="preserve">With a projected 35% revenue increase for 2024 and expanding partnerships in medical tourism, this Sales Report underscores the critical importance of specialized dentist expertise within Turkey's evolving healthcare landscape. Our continued investment in cutting-edge technology, multilingual staff development, and culturally sensitive patient care will solidify our reputation as Istanbul's premier destination for comprehensive dental excellence.</w:t>
      </w:r>
    </w:p>
    <w:p>
      <w:pPr>
        <w:pStyle w:val="BodyText"/>
      </w:pPr>
      <w:r>
        <w:t xml:space="preserve">"In the heart of Turkey Istanbul, where tradition meets modernity, Dental Excellence Istanbul delivers not just dental care—but transformative smiles that reflect our city's vibrant spirit."</w:t>
      </w:r>
    </w:p>
    <w:p>
      <w:pPr>
        <w:pStyle w:val="BodyText"/>
      </w:pPr>
      <w:r>
        <w:t xml:space="preserve">Prepared by: Strategic Growth Team</w:t>
      </w:r>
      <w:r>
        <w:br/>
      </w:r>
      <w:r>
        <w:t xml:space="preserve">Dental Excellence Istanbul | 2024 Sales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Turkey Istanbul Market Analysis</dc:title>
  <dc:creator/>
  <dc:language>en</dc:language>
  <cp:keywords/>
  <dcterms:created xsi:type="dcterms:W3CDTF">2026-07-21T05:01:35Z</dcterms:created>
  <dcterms:modified xsi:type="dcterms:W3CDTF">2026-07-21T05:01:35Z</dcterms:modified>
</cp:coreProperties>
</file>

<file path=docProps/custom.xml><?xml version="1.0" encoding="utf-8"?>
<Properties xmlns="http://schemas.openxmlformats.org/officeDocument/2006/custom-properties" xmlns:vt="http://schemas.openxmlformats.org/officeDocument/2006/docPropsVTypes"/>
</file>