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c8dd7a75d188f1f4443682c4080c2827b77b32d"/>
    <w:p>
      <w:pPr>
        <w:pStyle w:val="Heading1"/>
      </w:pPr>
      <w:r>
        <w:t xml:space="preserve">Sales Report: Comprehensive Analysis of Dental Practice Performance in Abu Dhabi,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Dental Management Committee, Abu Dhabi Healthcare Authority</w:t>
      </w:r>
      <w:r>
        <w:br/>
      </w:r>
      <w:r>
        <w:rPr>
          <w:bCs/>
          <w:b/>
        </w:rPr>
        <w:t xml:space="preserve">Prepared By:</w:t>
      </w:r>
      <w:r>
        <w:t xml:space="preserve"> </w:t>
      </w:r>
      <w:r>
        <w:t xml:space="preserve">Strategic Business Intelligence Division</w:t>
      </w:r>
    </w:p>
    <w:bookmarkStart w:id="20" w:name="i.-executive-summary"/>
    <w:p>
      <w:pPr>
        <w:pStyle w:val="Heading2"/>
      </w:pPr>
      <w:r>
        <w:t xml:space="preserve">I. Executive Summary</w:t>
      </w:r>
    </w:p>
    <w:p>
      <w:pPr>
        <w:pStyle w:val="FirstParagraph"/>
      </w:pPr>
      <w:r>
        <w:t xml:space="preserve">This Sales Report provides a detailed analysis of the dental practice performance metrics across our facilities in Abu Dhabi, United Arab Emirates. The report covers Q3 2023 operations, demonstrating exceptional growth in service utilization and revenue streams compared to previous quarters. With the United Arab Emirates' healthcare sector experiencing unprecedented expansion under Abu Dhabi's Vision 2030 initiative, our dental practice has positioned itself as a leading provider of premium oral healthcare solutions. Key highlights include a 18.7% year-over-year increase in total revenue, with cosmetic dentistry and pediatric services driving exceptional growth (24.5% and 31.2% respectively). This report confirms the strategic importance of our Abu Dhabi-based operations within the broader United Arab Emirates dental market landscape.</w:t>
      </w:r>
    </w:p>
    <w:bookmarkEnd w:id="20"/>
    <w:bookmarkStart w:id="21" w:name="Xf948b93335a8d726434837cc9503a3b5d21da4b"/>
    <w:p>
      <w:pPr>
        <w:pStyle w:val="Heading2"/>
      </w:pPr>
      <w:r>
        <w:t xml:space="preserve">II. Market Context: Dental Industry in United Arab Emirates Abu Dhabi</w:t>
      </w:r>
    </w:p>
    <w:p>
      <w:pPr>
        <w:pStyle w:val="FirstParagraph"/>
      </w:pPr>
      <w:r>
        <w:t xml:space="preserve">The dental sector in Abu Dhabi has experienced remarkable transformation, aligning with UAE government initiatives to elevate healthcare standards. As the capital of the United Arab Emirates, Abu Dhabi serves as a regional hub attracting international patients seeking high-quality dental care. Recent statistics from the Ministry of Health and Prevention indicate a 32% annual growth in dental service demand across Abu Dhabi due to population expansion (42% expatriate community) and heightened health consciousness. Our Sales Report reflects this market dynamism, with our practice capturing 15.8% of the premium dental segment in Abu Dhabi – significantly above the national average of 9.3%. The United Arab Emirates' commitment to medical tourism has directly contributed to our international patient revenue reaching AED 1,240,000 (38% of total sales) in Q3 alone.</w:t>
      </w:r>
    </w:p>
    <w:bookmarkEnd w:id="21"/>
    <w:bookmarkStart w:id="22" w:name="Xa45625d03b66d32a770b6ee7aafdaddca885348"/>
    <w:p>
      <w:pPr>
        <w:pStyle w:val="Heading2"/>
      </w:pPr>
      <w:r>
        <w:t xml:space="preserve">III. Comprehensive Sales Performance Metrics</w:t>
      </w:r>
    </w:p>
    <w:p>
      <w:pPr>
        <w:pStyle w:val="FirstParagraph"/>
      </w:pPr>
      <w:r>
        <w:t xml:space="preserve">Service Category</w:t>
      </w:r>
    </w:p>
    <w:p>
      <w:pPr>
        <w:pStyle w:val="BodyText"/>
      </w:pPr>
      <w:r>
        <w:t xml:space="preserve">Q3 2023 Revenue (AED)</w:t>
      </w:r>
    </w:p>
    <w:p>
      <w:pPr>
        <w:pStyle w:val="BodyText"/>
      </w:pPr>
      <w:r>
        <w:t xml:space="preserve">% of Total Revenue</w:t>
      </w:r>
    </w:p>
    <w:p>
      <w:pPr>
        <w:pStyle w:val="BodyText"/>
      </w:pPr>
      <w:r>
        <w:t xml:space="preserve">YoY Growth</w:t>
      </w:r>
    </w:p>
    <w:p>
      <w:pPr>
        <w:pStyle w:val="BodyText"/>
      </w:pPr>
      <w:r>
        <w:t xml:space="preserve">General Dentistry (Preventive &amp; Restorative)</w:t>
      </w:r>
    </w:p>
    <w:p>
      <w:pPr>
        <w:pStyle w:val="BodyText"/>
      </w:pPr>
      <w:r>
        <w:t xml:space="preserve">4,850,000</w:t>
      </w:r>
    </w:p>
    <w:p>
      <w:pPr>
        <w:pStyle w:val="BodyText"/>
      </w:pPr>
      <w:r>
        <w:t xml:space="preserve">42.1%</w:t>
      </w:r>
    </w:p>
    <w:p>
      <w:pPr>
        <w:pStyle w:val="BodyText"/>
      </w:pPr>
      <w:r>
        <w:t xml:space="preserve">+12.3%</w:t>
      </w:r>
    </w:p>
    <w:p>
      <w:pPr>
        <w:pStyle w:val="BodyText"/>
      </w:pPr>
      <w:r>
        <w:t xml:space="preserve">Cosmetic Dentistry (Veneers, Whitening)</w:t>
      </w:r>
    </w:p>
    <w:p>
      <w:pPr>
        <w:pStyle w:val="BodyText"/>
      </w:pPr>
      <w:r>
        <w:t xml:space="preserve">3,185,000</w:t>
      </w:r>
    </w:p>
    <w:p>
      <w:pPr>
        <w:pStyle w:val="BodyText"/>
      </w:pPr>
    </w:p>
    <w:p>
      <w:pPr>
        <w:pStyle w:val="BodyText"/>
      </w:pPr>
      <w:r>
        <w:t xml:space="preserve">27.7%</w:t>
      </w:r>
    </w:p>
    <w:p>
      <w:pPr>
        <w:pStyle w:val="BodyText"/>
      </w:pPr>
      <w:r>
        <w:t xml:space="preserve">+24.5%</w:t>
      </w:r>
    </w:p>
    <w:p>
      <w:pPr>
        <w:pStyle w:val="BodyText"/>
      </w:pPr>
      <w:r>
        <w:t xml:space="preserve">Orthodontics (Braces &amp; Aligners)</w:t>
      </w:r>
    </w:p>
    <w:p>
      <w:pPr>
        <w:pStyle w:val="BodyText"/>
      </w:pPr>
      <w:r>
        <w:t xml:space="preserve">2,145,000</w:t>
      </w:r>
    </w:p>
    <w:p>
      <w:pPr>
        <w:pStyle w:val="BodyText"/>
      </w:pPr>
      <w:r>
        <w:t xml:space="preserve">18.6%</w:t>
      </w:r>
    </w:p>
    <w:p>
      <w:pPr>
        <w:pStyle w:val="BodyText"/>
      </w:pPr>
      <w:r>
        <w:t xml:space="preserve">+19.8%</w:t>
      </w:r>
    </w:p>
    <w:p>
      <w:pPr>
        <w:pStyle w:val="BodyText"/>
      </w:pPr>
      <w:r>
        <w:t xml:space="preserve">Pediatric Dentistry</w:t>
      </w:r>
    </w:p>
    <w:p>
      <w:pPr>
        <w:pStyle w:val="BodyText"/>
      </w:pPr>
      <w:r>
        <w:t xml:space="preserve">725,000</w:t>
      </w:r>
    </w:p>
    <w:p>
      <w:pPr>
        <w:pStyle w:val="BodyText"/>
      </w:pPr>
      <w:r>
        <w:t xml:space="preserve">6.3%</w:t>
      </w:r>
    </w:p>
    <w:p>
      <w:pPr>
        <w:pStyle w:val="BodyText"/>
      </w:pPr>
      <w:r>
        <w:t xml:space="preserve">+31.2%</w:t>
      </w:r>
    </w:p>
    <w:p>
      <w:pPr>
        <w:pStyle w:val="BodyText"/>
      </w:pPr>
      <w:r>
        <w:rPr>
          <w:bCs/>
          <w:b/>
        </w:rPr>
        <w:t xml:space="preserve">Total Revenue</w:t>
      </w:r>
    </w:p>
    <w:p>
      <w:pPr>
        <w:pStyle w:val="BodyText"/>
      </w:pPr>
      <w:r>
        <w:rPr>
          <w:bCs/>
          <w:b/>
        </w:rPr>
        <w:t xml:space="preserve">11,505,000</w:t>
      </w:r>
    </w:p>
    <w:p>
      <w:pPr>
        <w:pStyle w:val="BodyText"/>
      </w:pPr>
      <w:r>
        <w:rPr>
          <w:bCs/>
          <w:b/>
        </w:rPr>
        <w:t xml:space="preserve">100%</w:t>
      </w:r>
    </w:p>
    <w:p>
      <w:pPr>
        <w:pStyle w:val="BodyText"/>
      </w:pPr>
      <w:r>
        <w:rPr>
          <w:bCs/>
          <w:b/>
        </w:rPr>
        <w:t xml:space="preserve">+18.7%</w:t>
      </w:r>
    </w:p>
    <w:p>
      <w:pPr>
        <w:pStyle w:val="BodyText"/>
      </w:pPr>
      <w:r>
        <w:t xml:space="preserve">The Sales Report reveals a critical shift in patient preferences toward value-based dental care in Abu Dhabi. Notably, cosmetic dentistry has surpassed orthodontics as our second-largest revenue generator, reflecting evolving consumer priorities among UAE's affluent demographic. The 24.5% growth in cosmetic services aligns with Abu Dhabi's emergence as a regional destination for aesthetic procedures – a trend our practice has strategically capitalized on through partnerships with luxury hospitality providers.</w:t>
      </w:r>
    </w:p>
    <w:bookmarkEnd w:id="22"/>
    <w:bookmarkStart w:id="23" w:name="iv.-abu-dhabi-specific-sales-drivers"/>
    <w:p>
      <w:pPr>
        <w:pStyle w:val="Heading2"/>
      </w:pPr>
      <w:r>
        <w:t xml:space="preserve">IV. Abu Dhabi-Specific Sales Drivers</w:t>
      </w:r>
    </w:p>
    <w:p>
      <w:pPr>
        <w:pStyle w:val="FirstParagraph"/>
      </w:pPr>
      <w:r>
        <w:rPr>
          <w:bCs/>
          <w:b/>
        </w:rPr>
        <w:t xml:space="preserve">1. Government Healthcare Initiatives:</w:t>
      </w:r>
      <w:r>
        <w:t xml:space="preserve"> </w:t>
      </w:r>
      <w:r>
        <w:t xml:space="preserve">The launch of Abu Dhabi's "Dentist First" program has significantly boosted routine check-up volumes by 37% through subsidized preventive care packages for Emirati residents. Our practice serves as a designated provider, generating AED 1,820,000 in this segment.</w:t>
      </w:r>
    </w:p>
    <w:p>
      <w:pPr>
        <w:pStyle w:val="BodyText"/>
      </w:pPr>
      <w:r>
        <w:rPr>
          <w:bCs/>
          <w:b/>
        </w:rPr>
        <w:t xml:space="preserve">2. Medical Tourism Integration:</w:t>
      </w:r>
      <w:r>
        <w:t xml:space="preserve"> </w:t>
      </w:r>
      <w:r>
        <w:t xml:space="preserve">Strategic collaborations with Abu Dhabi Airport Authority and luxury hotels (including Ritz-Carlton and Emirates Palace) have streamlined patient journeys for international visitors. Our Sales Report tracks a 54% increase in patients from GCC nations, with treatment packages averaging AED 12,500 per patient – contributing to our highest-margin revenue stream.</w:t>
      </w:r>
    </w:p>
    <w:p>
      <w:pPr>
        <w:pStyle w:val="BodyText"/>
      </w:pPr>
      <w:r>
        <w:rPr>
          <w:bCs/>
          <w:b/>
        </w:rPr>
        <w:t xml:space="preserve">3. Digital Transformation:</w:t>
      </w:r>
      <w:r>
        <w:t xml:space="preserve"> </w:t>
      </w:r>
      <w:r>
        <w:t xml:space="preserve">Implementation of the "Abu Dhabi Dental Connect" telehealth platform has increased appointment conversion rates by 28%. The system integrates seamlessly with the UAE's National e-Health Record, enhancing service coordination and patient retention – a key factor in our 76% repeat customer rate.</w:t>
      </w:r>
    </w:p>
    <w:bookmarkEnd w:id="23"/>
    <w:bookmarkStart w:id="24" w:name="v.-customer-insights-satisfaction"/>
    <w:p>
      <w:pPr>
        <w:pStyle w:val="Heading2"/>
      </w:pPr>
      <w:r>
        <w:t xml:space="preserve">V. Customer Insights &amp; Satisfaction</w:t>
      </w:r>
    </w:p>
    <w:p>
      <w:pPr>
        <w:pStyle w:val="FirstParagraph"/>
      </w:pPr>
      <w:r>
        <w:t xml:space="preserve">Our Q3 customer satisfaction survey (n=1,480 patients) across Abu Dhabi clinics revealed:</w:t>
      </w:r>
    </w:p>
    <w:p>
      <w:pPr>
        <w:numPr>
          <w:ilvl w:val="0"/>
          <w:numId w:val="1001"/>
        </w:numPr>
        <w:pStyle w:val="Compact"/>
      </w:pPr>
      <w:r>
        <w:t xml:space="preserve">94% overall satisfaction rate (vs. UAE industry average of 86%)</w:t>
      </w:r>
    </w:p>
    <w:p>
      <w:pPr>
        <w:numPr>
          <w:ilvl w:val="0"/>
          <w:numId w:val="1001"/>
        </w:numPr>
        <w:pStyle w:val="Compact"/>
      </w:pPr>
      <w:r>
        <w:t xml:space="preserve">92% of patients rated "quality of care" as "excellent"</w:t>
      </w:r>
    </w:p>
    <w:p>
      <w:pPr>
        <w:numPr>
          <w:ilvl w:val="0"/>
          <w:numId w:val="1001"/>
        </w:numPr>
        <w:pStyle w:val="Compact"/>
      </w:pPr>
      <w:r>
        <w:t xml:space="preserve">Pediatric service ratings exceeded 97%, driven by child-friendly facilities and specialized staff</w:t>
      </w:r>
    </w:p>
    <w:p>
      <w:pPr>
        <w:pStyle w:val="FirstParagraph"/>
      </w:pPr>
      <w:r>
        <w:t xml:space="preserve">Importantly, the Sales Report identifies that 68% of our Abu Dhabi customers cited "cultural sensitivity" as a decisive factor in choosing our practice – a critical differentiator in the UAE's diverse market where 90% of patients are non-Emiratis. Our multilingual dental team (Arabic, English, Hindi, Urdu) directly contributes to this competitive advantage.</w:t>
      </w:r>
    </w:p>
    <w:bookmarkEnd w:id="24"/>
    <w:bookmarkStart w:id="25" w:name="X966b679019f1bda89bee6ee44d13abf83394ae6"/>
    <w:p>
      <w:pPr>
        <w:pStyle w:val="Heading2"/>
      </w:pPr>
      <w:r>
        <w:t xml:space="preserve">VI. Strategic Recommendations for United Arab Emirates Abu Dhabi Market</w:t>
      </w:r>
    </w:p>
    <w:p>
      <w:pPr>
        <w:numPr>
          <w:ilvl w:val="0"/>
          <w:numId w:val="1002"/>
        </w:numPr>
        <w:pStyle w:val="Compact"/>
      </w:pPr>
      <w:r>
        <w:rPr>
          <w:bCs/>
          <w:b/>
        </w:rPr>
        <w:t xml:space="preserve">Expand Cosmetic Service Suite:</w:t>
      </w:r>
      <w:r>
        <w:t xml:space="preserve"> </w:t>
      </w:r>
      <w:r>
        <w:t xml:space="preserve">Allocate additional resources to laser dentistry and smile design programs based on 41% patient inquiry rate for these services in Q3.</w:t>
      </w:r>
    </w:p>
    <w:p>
      <w:pPr>
        <w:numPr>
          <w:ilvl w:val="0"/>
          <w:numId w:val="1002"/>
        </w:numPr>
        <w:pStyle w:val="Compact"/>
      </w:pPr>
      <w:r>
        <w:rPr>
          <w:bCs/>
          <w:b/>
        </w:rPr>
        <w:t xml:space="preserve">Leverage Abu Dhabi Health Hub Partnership:</w:t>
      </w:r>
      <w:r>
        <w:t xml:space="preserve"> </w:t>
      </w:r>
      <w:r>
        <w:t xml:space="preserve">Formalize collaboration with the new Abu Dhabi Health District to co-develop preventive care packages targeting corporate wellness programs.</w:t>
      </w:r>
    </w:p>
    <w:p>
      <w:pPr>
        <w:numPr>
          <w:ilvl w:val="0"/>
          <w:numId w:val="1002"/>
        </w:numPr>
        <w:pStyle w:val="Compact"/>
      </w:pPr>
      <w:r>
        <w:rPr>
          <w:bCs/>
          <w:b/>
        </w:rPr>
        <w:t xml:space="preserve">Target Expatriate Communities:</w:t>
      </w:r>
      <w:r>
        <w:t xml:space="preserve"> </w:t>
      </w:r>
      <w:r>
        <w:t xml:space="preserve">Launch "Family Dental Passes" for expatriate families in high-density areas (Al Reem Island, Yas Island) as identified by our market analysis.</w:t>
      </w:r>
    </w:p>
    <w:p>
      <w:pPr>
        <w:numPr>
          <w:ilvl w:val="0"/>
          <w:numId w:val="1002"/>
        </w:numPr>
        <w:pStyle w:val="Compact"/>
      </w:pPr>
      <w:r>
        <w:rPr>
          <w:bCs/>
          <w:b/>
        </w:rPr>
        <w:t xml:space="preserve">Promote Pediatric Services:</w:t>
      </w:r>
      <w:r>
        <w:t xml:space="preserve"> </w:t>
      </w:r>
      <w:r>
        <w:t xml:space="preserve">Implement school-based dental education programs across Abu Dhabi public schools – a strategy that drove 31.2% growth in this segment.</w:t>
      </w:r>
    </w:p>
    <w:bookmarkEnd w:id="25"/>
    <w:bookmarkStart w:id="26" w:name="vii.-conclusion"/>
    <w:p>
      <w:pPr>
        <w:pStyle w:val="Heading2"/>
      </w:pPr>
      <w:r>
        <w:t xml:space="preserve">VII. Conclusion</w:t>
      </w:r>
    </w:p>
    <w:p>
      <w:pPr>
        <w:pStyle w:val="FirstParagraph"/>
      </w:pPr>
      <w:r>
        <w:t xml:space="preserve">This Sales Report conclusively demonstrates that our dental practice is not merely meeting but exceeding market expectations in the United Arab Emirates Abu Dhabi healthcare landscape. The strategic alignment with Abu Dhabi's healthcare vision, coupled with our data-driven approach to service delivery, has positioned us for sustained growth within this premium segment. With the UAE government projecting a 25% increase in dental tourism by 2025 and Abu Dhabi establishing itself as the region's premier medical destination, our Q3 performance serves as a strong foundation for expanding market share.</w:t>
      </w:r>
    </w:p>
    <w:p>
      <w:pPr>
        <w:pStyle w:val="BodyText"/>
      </w:pPr>
      <w:r>
        <w:t xml:space="preserve">As emphasized throughout this Sales Report, success in Abu Dhabi's dental sector requires deep cultural understanding combined with cutting-edge clinical excellence. Our ability to deliver both – evidenced by our 18.7% YoY revenue growth and 94% patient satisfaction rate – confirms our status as a benchmark provider for the United Arab Emirates dental industry. We recommend maintaining this strategic focus on Abu Dhabi-specific market dynamics while exploring new service lines aligned with the UAE's National Health Strategy 2030 priorities.</w:t>
      </w:r>
    </w:p>
    <w:p>
      <w:pPr>
        <w:pStyle w:val="BodyText"/>
      </w:pPr>
      <w:r>
        <w:rPr>
          <w:bCs/>
          <w:b/>
        </w:rPr>
        <w:t xml:space="preserve">Appendix: Key Performance Indicators (Q3 2023)</w:t>
      </w:r>
    </w:p>
    <w:p>
      <w:pPr>
        <w:numPr>
          <w:ilvl w:val="0"/>
          <w:numId w:val="1003"/>
        </w:numPr>
        <w:pStyle w:val="Compact"/>
      </w:pPr>
      <w:r>
        <w:t xml:space="preserve">Average Revenue Per Patient: AED 1,475</w:t>
      </w:r>
    </w:p>
    <w:p>
      <w:pPr>
        <w:numPr>
          <w:ilvl w:val="0"/>
          <w:numId w:val="1003"/>
        </w:numPr>
        <w:pStyle w:val="Compact"/>
      </w:pPr>
      <w:r>
        <w:t xml:space="preserve">Patient Retention Rate: 76%</w:t>
      </w:r>
    </w:p>
    <w:p>
      <w:pPr>
        <w:numPr>
          <w:ilvl w:val="0"/>
          <w:numId w:val="1003"/>
        </w:numPr>
        <w:pStyle w:val="Compact"/>
      </w:pPr>
      <w:r>
        <w:t xml:space="preserve">International Patient Acquisition Cost: AED 890 (vs. UAE average of AED 1,250)</w:t>
      </w:r>
    </w:p>
    <w:p>
      <w:pPr>
        <w:numPr>
          <w:ilvl w:val="0"/>
          <w:numId w:val="1003"/>
        </w:numPr>
        <w:pStyle w:val="Compact"/>
      </w:pPr>
      <w:r>
        <w:t xml:space="preserve">Market Share in Abu Dhabi Premium Segment: 15.8% (up from 12.4% YoY)</w:t>
      </w:r>
    </w:p>
    <w:p>
      <w:pPr>
        <w:pStyle w:val="FirstParagraph"/>
      </w:pPr>
      <w:r>
        <w:rPr>
          <w:iCs/>
          <w:i/>
        </w:rPr>
        <w:t xml:space="preserve">This report complies with UAE Ministry of Health and Prevention data reporting standards for private healthcare facilities in Abu Dhabi. All financial figures converted to AED using Central Bank of the UAE exchange 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Practice Performance - Abu Dhabi, United Arab Emirates</dc:title>
  <dc:creator/>
  <dc:language>en</dc:language>
  <cp:keywords/>
  <dcterms:created xsi:type="dcterms:W3CDTF">2026-07-24T04:42:40Z</dcterms:created>
  <dcterms:modified xsi:type="dcterms:W3CDTF">2026-07-24T04:42:40Z</dcterms:modified>
</cp:coreProperties>
</file>

<file path=docProps/custom.xml><?xml version="1.0" encoding="utf-8"?>
<Properties xmlns="http://schemas.openxmlformats.org/officeDocument/2006/custom-properties" xmlns:vt="http://schemas.openxmlformats.org/officeDocument/2006/docPropsVTypes"/>
</file>