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Premier</w:t>
      </w:r>
      <w:r>
        <w:t xml:space="preserve"> </w:t>
      </w:r>
      <w:r>
        <w:t xml:space="preserve">Dental</w:t>
      </w:r>
      <w:r>
        <w:t xml:space="preserve"> </w:t>
      </w:r>
      <w:r>
        <w:t xml:space="preserve">Practice</w:t>
      </w:r>
      <w:r>
        <w:t xml:space="preserve"> </w:t>
      </w:r>
      <w:r>
        <w:t xml:space="preserve">-</w:t>
      </w:r>
      <w:r>
        <w:t xml:space="preserve"> </w:t>
      </w:r>
      <w:r>
        <w:t xml:space="preserve">New</w:t>
      </w:r>
      <w:r>
        <w:t xml:space="preserve"> </w:t>
      </w:r>
      <w:r>
        <w:t xml:space="preserve">York</w:t>
      </w:r>
      <w:r>
        <w:t xml:space="preserve"> </w:t>
      </w:r>
      <w:r>
        <w:t xml:space="preserve">City</w:t>
      </w:r>
    </w:p>
    <w:bookmarkStart w:id="28" w:name="Xa4e4ead67737047109528dce21863ddc6c14366"/>
    <w:p>
      <w:pPr>
        <w:pStyle w:val="Heading1"/>
      </w:pPr>
      <w:r>
        <w:t xml:space="preserve">ANNUAL SALES REPORT</w:t>
      </w:r>
      <w:r>
        <w:br/>
      </w:r>
      <w:r>
        <w:t xml:space="preserve">PREMIER DENTAL PRACTICE - NEW YORK CITY</w:t>
      </w:r>
    </w:p>
    <w:p>
      <w:pPr>
        <w:pStyle w:val="FirstParagraph"/>
      </w:pPr>
      <w:r>
        <w:t xml:space="preserve">United States New York City | Fiscal Year 2023 | Prepared for Stakeholders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financial performance of our premier dental practice located in the heart of United States New York City for the fiscal year ending December 31, 2023. Serving Manhattan's diverse population across five high-traffic neighborhoods, this report demonstrates exceptional growth in patient acquisition and service revenue while navigating unique challenges inherent to operating a</w:t>
      </w:r>
      <w:r>
        <w:t xml:space="preserve"> </w:t>
      </w:r>
      <w:r>
        <w:rPr>
          <w:bCs/>
          <w:b/>
        </w:rPr>
        <w:t xml:space="preserve">Dentist</w:t>
      </w:r>
      <w:r>
        <w:t xml:space="preserve"> </w:t>
      </w:r>
      <w:r>
        <w:t xml:space="preserve">practice in the nation's most competitive healthcare market.</w:t>
      </w:r>
    </w:p>
    <w:bookmarkEnd w:id="20"/>
    <w:bookmarkStart w:id="21" w:name="key-sales-performance-metrics-2023"/>
    <w:p>
      <w:pPr>
        <w:pStyle w:val="Heading2"/>
      </w:pPr>
      <w:r>
        <w:t xml:space="preserve">Key Sales Performance Metrics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2023 Result</w:t>
            </w:r>
          </w:p>
        </w:tc>
        <w:tc>
          <w:tcPr/>
          <w:p>
            <w:pPr>
              <w:pStyle w:val="Compact"/>
              <w:jc w:val="left"/>
            </w:pPr>
            <w:r>
              <w:t xml:space="preserve">2022 Result</w:t>
            </w:r>
          </w:p>
        </w:tc>
        <w:tc>
          <w:tcPr/>
          <w:p>
            <w:pPr>
              <w:pStyle w:val="Compact"/>
              <w:jc w:val="left"/>
            </w:pPr>
            <w:r>
              <w:t xml:space="preserve">% Change</w:t>
            </w:r>
          </w:p>
        </w:tc>
      </w:tr>
      <w:tr>
        <w:tc>
          <w:tcPr/>
          <w:p>
            <w:pPr>
              <w:pStyle w:val="Compact"/>
              <w:jc w:val="left"/>
            </w:pPr>
            <w:r>
              <w:t xml:space="preserve">Total Patient Visits</w:t>
            </w:r>
          </w:p>
        </w:tc>
        <w:tc>
          <w:tcPr/>
          <w:p>
            <w:pPr>
              <w:pStyle w:val="Compact"/>
              <w:jc w:val="left"/>
            </w:pPr>
            <w:r>
              <w:t xml:space="preserve">14,850</w:t>
            </w:r>
          </w:p>
        </w:tc>
        <w:tc>
          <w:tcPr/>
          <w:p>
            <w:pPr>
              <w:pStyle w:val="Compact"/>
              <w:jc w:val="left"/>
            </w:pPr>
            <w:r>
              <w:t xml:space="preserve">12,320</w:t>
            </w:r>
          </w:p>
        </w:tc>
        <w:tc>
          <w:tcPr/>
          <w:p>
            <w:pPr>
              <w:pStyle w:val="Compact"/>
              <w:jc w:val="left"/>
            </w:pPr>
            <w:r>
              <w:t xml:space="preserve">+20.5%</w:t>
            </w:r>
          </w:p>
        </w:tc>
      </w:tr>
      <w:tr>
        <w:tc>
          <w:tcPr/>
          <w:p>
            <w:pPr>
              <w:pStyle w:val="Compact"/>
              <w:jc w:val="left"/>
            </w:pPr>
            <w:r>
              <w:t xml:space="preserve">Gross Revenue ($)</w:t>
            </w:r>
          </w:p>
        </w:tc>
        <w:tc>
          <w:tcPr/>
          <w:p>
            <w:pPr>
              <w:pStyle w:val="Compact"/>
              <w:jc w:val="left"/>
            </w:pPr>
            <w:r>
              <w:t xml:space="preserve">$2,487,500</w:t>
            </w:r>
          </w:p>
        </w:tc>
        <w:tc>
          <w:tcPr/>
          <w:p>
            <w:pPr>
              <w:pStyle w:val="Compact"/>
              <w:jc w:val="left"/>
            </w:pPr>
            <w:r>
              <w:t xml:space="preserve">$1,963,200</w:t>
            </w:r>
          </w:p>
        </w:tc>
        <w:tc>
          <w:tcPr/>
          <w:p>
            <w:pPr>
              <w:pStyle w:val="Compact"/>
              <w:jc w:val="left"/>
            </w:pPr>
            <w:r>
              <w:t xml:space="preserve">+26.7%</w:t>
            </w:r>
          </w:p>
        </w:tc>
      </w:tr>
      <w:tr>
        <w:tc>
          <w:tcPr/>
          <w:p>
            <w:pPr>
              <w:pStyle w:val="Compact"/>
              <w:jc w:val="left"/>
            </w:pPr>
            <w:r>
              <w:t xml:space="preserve">Average Visit Revenue ($)</w:t>
            </w:r>
          </w:p>
        </w:tc>
        <w:tc>
          <w:tcPr/>
          <w:p>
            <w:pPr>
              <w:pStyle w:val="Compact"/>
              <w:jc w:val="left"/>
            </w:pPr>
            <w:r>
              <w:t xml:space="preserve">$167.50</w:t>
            </w:r>
          </w:p>
        </w:tc>
        <w:tc>
          <w:tcPr/>
          <w:p>
            <w:pPr>
              <w:pStyle w:val="Compact"/>
              <w:jc w:val="left"/>
            </w:pPr>
            <w:r>
              <w:t xml:space="preserve">$158.40</w:t>
            </w:r>
          </w:p>
        </w:tc>
        <w:tc>
          <w:tcPr/>
          <w:p>
            <w:pPr>
              <w:pStyle w:val="Compact"/>
              <w:jc w:val="left"/>
            </w:pPr>
            <w:r>
              <w:t xml:space="preserve">+5.7%</w:t>
            </w:r>
          </w:p>
        </w:tc>
      </w:tr>
      <w:tr>
        <w:tc>
          <w:tcPr/>
          <w:p>
            <w:pPr>
              <w:pStyle w:val="Compact"/>
              <w:jc w:val="left"/>
            </w:pPr>
            <w:r>
              <w:t xml:space="preserve">New Patient Acquisitions</w:t>
            </w:r>
          </w:p>
        </w:tc>
        <w:tc>
          <w:tcPr/>
          <w:p>
            <w:pPr>
              <w:pStyle w:val="Compact"/>
              <w:jc w:val="left"/>
            </w:pPr>
            <w:r>
              <w:t xml:space="preserve">3,240</w:t>
            </w:r>
          </w:p>
        </w:tc>
        <w:tc>
          <w:tcPr/>
          <w:p>
            <w:pPr>
              <w:pStyle w:val="Compact"/>
              <w:jc w:val="left"/>
            </w:pPr>
            <w:r>
              <w:t xml:space="preserve">2,460</w:t>
            </w:r>
          </w:p>
        </w:tc>
        <w:tc>
          <w:tcPr/>
          <w:p>
            <w:pPr>
              <w:pStyle w:val="Compact"/>
              <w:jc w:val="left"/>
            </w:pPr>
            <w:r>
              <w:t xml:space="preserve">+31.7%</w:t>
            </w:r>
          </w:p>
        </w:tc>
      </w:tr>
      <w:tr>
        <w:tc>
          <w:tcPr/>
          <w:p>
            <w:pPr>
              <w:pStyle w:val="Compact"/>
              <w:jc w:val="left"/>
            </w:pPr>
            <w:r>
              <w:t xml:space="preserve">Patient Retention Rate</w:t>
            </w:r>
          </w:p>
        </w:tc>
        <w:tc>
          <w:tcPr/>
          <w:p>
            <w:pPr>
              <w:pStyle w:val="Compact"/>
              <w:jc w:val="left"/>
            </w:pPr>
            <w:r>
              <w:t xml:space="preserve">78.2%</w:t>
            </w:r>
          </w:p>
        </w:tc>
        <w:tc>
          <w:tcPr/>
          <w:p>
            <w:pPr>
              <w:pStyle w:val="Compact"/>
              <w:jc w:val="left"/>
            </w:pPr>
            <w:r>
              <w:t xml:space="preserve">72.5%</w:t>
            </w:r>
          </w:p>
        </w:tc>
        <w:tc>
          <w:tcPr/>
          <w:p>
            <w:pPr>
              <w:pStyle w:val="Compact"/>
              <w:jc w:val="left"/>
            </w:pPr>
            <w:r>
              <w:t xml:space="preserve">+5.7 pts</w:t>
            </w:r>
          </w:p>
        </w:tc>
      </w:tr>
    </w:tbl>
    <w:bookmarkEnd w:id="21"/>
    <w:bookmarkStart w:id="22" w:name="Xbe43a3ed2518ade68c9d134454509de82d348d8"/>
    <w:p>
      <w:pPr>
        <w:pStyle w:val="Heading2"/>
      </w:pPr>
      <w:r>
        <w:t xml:space="preserve">Market Analysis: The New York City Dental Landscape</w:t>
      </w:r>
    </w:p>
    <w:p>
      <w:pPr>
        <w:pStyle w:val="FirstParagraph"/>
      </w:pPr>
      <w:r>
        <w:t xml:space="preserve">Operating as a leading</w:t>
      </w:r>
      <w:r>
        <w:t xml:space="preserve"> </w:t>
      </w:r>
      <w:r>
        <w:rPr>
          <w:bCs/>
          <w:b/>
        </w:rPr>
        <w:t xml:space="preserve">Dentist</w:t>
      </w:r>
      <w:r>
        <w:t xml:space="preserve"> </w:t>
      </w:r>
      <w:r>
        <w:t xml:space="preserve">practice in the United States New York City market requires strategic adaptation to unique demographic and economic conditions. Our analysis confirms NYC's dental sector is experiencing unprecedented growth, with demand surging 18% above pre-pandemic levels (NYC Health Department, 2023). This expansion directly correlates with our practice's performance, particularly through targeted service offerings that address city-specific needs:</w:t>
      </w:r>
    </w:p>
    <w:p>
      <w:pPr>
        <w:numPr>
          <w:ilvl w:val="0"/>
          <w:numId w:val="1001"/>
        </w:numPr>
        <w:pStyle w:val="Compact"/>
      </w:pPr>
      <w:r>
        <w:rPr>
          <w:bCs/>
          <w:b/>
        </w:rPr>
        <w:t xml:space="preserve">Orthodontic Services:</w:t>
      </w:r>
      <w:r>
        <w:t xml:space="preserve"> </w:t>
      </w:r>
      <w:r>
        <w:t xml:space="preserve">Grew by 41% as young professionals in Brooklyn and Queens sought affordable Invisalign® solutions, capitalizing on NYC's high-density urban population</w:t>
      </w:r>
    </w:p>
    <w:p>
      <w:pPr>
        <w:numPr>
          <w:ilvl w:val="0"/>
          <w:numId w:val="1001"/>
        </w:numPr>
        <w:pStyle w:val="Compact"/>
      </w:pPr>
      <w:r>
        <w:rPr>
          <w:bCs/>
          <w:b/>
        </w:rPr>
        <w:t xml:space="preserve">Sedation Dentistry:</w:t>
      </w:r>
      <w:r>
        <w:t xml:space="preserve"> </w:t>
      </w:r>
      <w:r>
        <w:t xml:space="preserve">Increased by 27% due to rising anxiety-related treatment barriers among working-class patients across all five boroughs</w:t>
      </w:r>
    </w:p>
    <w:p>
      <w:pPr>
        <w:numPr>
          <w:ilvl w:val="0"/>
          <w:numId w:val="1001"/>
        </w:numPr>
        <w:pStyle w:val="Compact"/>
      </w:pPr>
      <w:r>
        <w:rPr>
          <w:bCs/>
          <w:b/>
        </w:rPr>
        <w:t xml:space="preserve">Insurance Optimization:</w:t>
      </w:r>
      <w:r>
        <w:t xml:space="preserve"> </w:t>
      </w:r>
      <w:r>
        <w:t xml:space="preserve">Successfully onboarded 43 new insurance providers, expanding coverage access for 89% of our patient base - a critical differentiator in NYC's complex insurance ecosystem</w:t>
      </w:r>
    </w:p>
    <w:bookmarkEnd w:id="22"/>
    <w:bookmarkStart w:id="23" w:name="X5bea46b734f0d463bf8e6791ce7253b3732dd5d"/>
    <w:p>
      <w:pPr>
        <w:pStyle w:val="Heading2"/>
      </w:pPr>
      <w:r>
        <w:t xml:space="preserve">Strategic Initiatives Driving Sales Growth</w:t>
      </w:r>
    </w:p>
    <w:p>
      <w:pPr>
        <w:pStyle w:val="FirstParagraph"/>
      </w:pPr>
      <w:r>
        <w:t xml:space="preserve">Our strategic pivot to hyper-localized marketing and service bundling proved decisive in a competitive United States New York City dental market. Key initiatives included:</w:t>
      </w:r>
    </w:p>
    <w:p>
      <w:pPr>
        <w:numPr>
          <w:ilvl w:val="0"/>
          <w:numId w:val="1002"/>
        </w:numPr>
        <w:pStyle w:val="Compact"/>
      </w:pPr>
      <w:r>
        <w:rPr>
          <w:bCs/>
          <w:b/>
        </w:rPr>
        <w:t xml:space="preserve">NYC Neighborhood Targeting:</w:t>
      </w:r>
      <w:r>
        <w:t xml:space="preserve"> </w:t>
      </w:r>
      <w:r>
        <w:t xml:space="preserve">Customized outreach campaigns for specific communities (e.g., "Dental Wellness for Financial District Professionals" in Midtown, "Family Dental Packages for Flushing Families") increased targeted new patient acquisition by 38%</w:t>
      </w:r>
    </w:p>
    <w:p>
      <w:pPr>
        <w:numPr>
          <w:ilvl w:val="0"/>
          <w:numId w:val="1002"/>
        </w:numPr>
        <w:pStyle w:val="Compact"/>
      </w:pPr>
      <w:r>
        <w:rPr>
          <w:bCs/>
          <w:b/>
        </w:rPr>
        <w:t xml:space="preserve">Telehealth Integration:</w:t>
      </w:r>
      <w:r>
        <w:t xml:space="preserve"> </w:t>
      </w:r>
      <w:r>
        <w:t xml:space="preserve">Launched virtual consultations as a standard service following NYC Health Code modifications, capturing 15% of all initial patient inquiries and reducing no-show rates by 22%</w:t>
      </w:r>
    </w:p>
    <w:p>
      <w:pPr>
        <w:numPr>
          <w:ilvl w:val="0"/>
          <w:numId w:val="1002"/>
        </w:numPr>
        <w:pStyle w:val="Compact"/>
      </w:pPr>
      <w:r>
        <w:rPr>
          <w:bCs/>
          <w:b/>
        </w:rPr>
        <w:t xml:space="preserve">Dental Tourism Partnership:</w:t>
      </w:r>
      <w:r>
        <w:t xml:space="preserve"> </w:t>
      </w:r>
      <w:r>
        <w:t xml:space="preserve">Collaborated with Manhattan-based travel agencies to develop "Dental Getaway" packages for international patients, contributing $187,000 in revenue (6.3% of total sales)</w:t>
      </w:r>
    </w:p>
    <w:bookmarkEnd w:id="23"/>
    <w:bookmarkStart w:id="24" w:name="challenges-and-adaptive-solutions"/>
    <w:p>
      <w:pPr>
        <w:pStyle w:val="Heading2"/>
      </w:pPr>
      <w:r>
        <w:t xml:space="preserve">Challenges and Adaptive Solutions</w:t>
      </w:r>
    </w:p>
    <w:p>
      <w:pPr>
        <w:pStyle w:val="FirstParagraph"/>
      </w:pPr>
      <w:r>
        <w:t xml:space="preserve">Navigating the United States New York City healthcare environment presented significant hurdles that required innovative sales strategies:</w:t>
      </w:r>
    </w:p>
    <w:p>
      <w:pPr>
        <w:pStyle w:val="BlockText"/>
      </w:pPr>
      <w:r>
        <w:t xml:space="preserve">"The NYC staffing crisis threatened our ability to maintain appointment volumes. Our solution was developing a 'Dental Assistant Residency Program' with local community colleges, reducing turnover by 47% and enabling consistent service delivery during peak seasons."</w:t>
      </w:r>
    </w:p>
    <w:p>
      <w:pPr>
        <w:pStyle w:val="FirstParagraph"/>
      </w:pPr>
      <w:r>
        <w:t xml:space="preserve">Additionally, we addressed rising operational costs through:</w:t>
      </w:r>
    </w:p>
    <w:p>
      <w:pPr>
        <w:numPr>
          <w:ilvl w:val="0"/>
          <w:numId w:val="1003"/>
        </w:numPr>
        <w:pStyle w:val="Compact"/>
      </w:pPr>
      <w:r>
        <w:t xml:space="preserve">Implementing AI-driven appointment scheduling that reduced administrative costs by $114,000 annually</w:t>
      </w:r>
    </w:p>
    <w:p>
      <w:pPr>
        <w:numPr>
          <w:ilvl w:val="0"/>
          <w:numId w:val="1003"/>
        </w:numPr>
        <w:pStyle w:val="Compact"/>
      </w:pPr>
      <w:r>
        <w:t xml:space="preserve">Negotiating group purchasing agreements for dental supplies with NYC-based distributors</w:t>
      </w:r>
    </w:p>
    <w:p>
      <w:pPr>
        <w:numPr>
          <w:ilvl w:val="0"/>
          <w:numId w:val="1003"/>
        </w:numPr>
        <w:pStyle w:val="Compact"/>
      </w:pPr>
      <w:r>
        <w:t xml:space="preserve">Introducing 'City Resident Discount' for patients with permanent NYC addresses (23% uptake)</w:t>
      </w:r>
    </w:p>
    <w:bookmarkEnd w:id="24"/>
    <w:bookmarkStart w:id="25" w:name="Xabd7144ae30178719589268a82cfc08ed4935df"/>
    <w:p>
      <w:pPr>
        <w:pStyle w:val="Heading2"/>
      </w:pPr>
      <w:r>
        <w:t xml:space="preserve">Market Positioning in United States New York City</w:t>
      </w:r>
    </w:p>
    <w:p>
      <w:pPr>
        <w:pStyle w:val="FirstParagraph"/>
      </w:pPr>
      <w:r>
        <w:t xml:space="preserve">This</w:t>
      </w:r>
      <w:r>
        <w:t xml:space="preserve"> </w:t>
      </w:r>
      <w:r>
        <w:rPr>
          <w:bCs/>
          <w:b/>
        </w:rPr>
        <w:t xml:space="preserve">Sales Report</w:t>
      </w:r>
      <w:r>
        <w:t xml:space="preserve"> </w:t>
      </w:r>
      <w:r>
        <w:t xml:space="preserve">confirms our strategic positioning as a premium yet accessible dental provider within the United States New York City market. We've successfully differentiated through:</w:t>
      </w:r>
    </w:p>
    <w:p>
      <w:pPr>
        <w:numPr>
          <w:ilvl w:val="0"/>
          <w:numId w:val="1004"/>
        </w:numPr>
        <w:pStyle w:val="Compact"/>
      </w:pPr>
      <w:r>
        <w:rPr>
          <w:bCs/>
          <w:b/>
        </w:rPr>
        <w:t xml:space="preserve">Cultural Competency:</w:t>
      </w:r>
      <w:r>
        <w:t xml:space="preserve"> </w:t>
      </w:r>
      <w:r>
        <w:t xml:space="preserve">Multilingual staff (English, Spanish, Mandarin, Bengali) serving NYC's diverse population</w:t>
      </w:r>
    </w:p>
    <w:p>
      <w:pPr>
        <w:numPr>
          <w:ilvl w:val="0"/>
          <w:numId w:val="1004"/>
        </w:numPr>
        <w:pStyle w:val="Compact"/>
      </w:pPr>
      <w:r>
        <w:rPr>
          <w:bCs/>
          <w:b/>
        </w:rPr>
        <w:t xml:space="preserve">Technology Adoption:</w:t>
      </w:r>
      <w:r>
        <w:t xml:space="preserve"> </w:t>
      </w:r>
      <w:r>
        <w:t xml:space="preserve">Digital patient portals with NYC-specific features like subway route integration to our clinics</w:t>
      </w:r>
    </w:p>
    <w:p>
      <w:pPr>
        <w:numPr>
          <w:ilvl w:val="0"/>
          <w:numId w:val="1004"/>
        </w:numPr>
        <w:pStyle w:val="Compact"/>
      </w:pPr>
      <w:r>
        <w:rPr>
          <w:bCs/>
          <w:b/>
        </w:rPr>
        <w:t xml:space="preserve">Social Responsibility:</w:t>
      </w:r>
      <w:r>
        <w:t xml:space="preserve"> </w:t>
      </w:r>
      <w:r>
        <w:t xml:space="preserve">Free dental screenings at 12 community centers across the city, generating 347 new patient leads</w:t>
      </w:r>
    </w:p>
    <w:bookmarkEnd w:id="25"/>
    <w:bookmarkStart w:id="26" w:name="forward-looking-sales-strategy-2024"/>
    <w:p>
      <w:pPr>
        <w:pStyle w:val="Heading2"/>
      </w:pPr>
      <w:r>
        <w:t xml:space="preserve">Forward-Looking Sales Strategy (2024)</w:t>
      </w:r>
    </w:p>
    <w:p>
      <w:pPr>
        <w:pStyle w:val="FirstParagraph"/>
      </w:pPr>
      <w:r>
        <w:t xml:space="preserve">Based on our successful year in United States New York City, we propose three strategic growth pillars for the upcoming fiscal year:</w:t>
      </w:r>
    </w:p>
    <w:p>
      <w:pPr>
        <w:numPr>
          <w:ilvl w:val="0"/>
          <w:numId w:val="1005"/>
        </w:numPr>
        <w:pStyle w:val="Compact"/>
      </w:pPr>
      <w:r>
        <w:rPr>
          <w:bCs/>
          <w:b/>
        </w:rPr>
        <w:t xml:space="preserve">Expand Subsidized Care Model:</w:t>
      </w:r>
      <w:r>
        <w:t xml:space="preserve"> </w:t>
      </w:r>
      <w:r>
        <w:t xml:space="preserve">Partner with NYC Health + Hospitals to increase Medicaid participation by 45%, targeting underserved boroughs</w:t>
      </w:r>
    </w:p>
    <w:p>
      <w:pPr>
        <w:numPr>
          <w:ilvl w:val="0"/>
          <w:numId w:val="1005"/>
        </w:numPr>
        <w:pStyle w:val="Compact"/>
      </w:pPr>
      <w:r>
        <w:rPr>
          <w:bCs/>
          <w:b/>
        </w:rPr>
        <w:t xml:space="preserve">Launch Dental Wellness Membership:</w:t>
      </w:r>
      <w:r>
        <w:t xml:space="preserve"> </w:t>
      </w:r>
      <w:r>
        <w:t xml:space="preserve">A $99/month subscription model offering preventive care discounts, projected to generate $320,000 annual recurring revenue</w:t>
      </w:r>
    </w:p>
    <w:p>
      <w:pPr>
        <w:numPr>
          <w:ilvl w:val="0"/>
          <w:numId w:val="1005"/>
        </w:numPr>
        <w:pStyle w:val="Compact"/>
      </w:pPr>
      <w:r>
        <w:rPr>
          <w:bCs/>
          <w:b/>
        </w:rPr>
        <w:t xml:space="preserve">Clinical Specialization Development:</w:t>
      </w:r>
      <w:r>
        <w:t xml:space="preserve"> </w:t>
      </w:r>
      <w:r>
        <w:t xml:space="preserve">Establish NYC's first dedicated pediatric sedation unit in Brooklyn with specialized training for urban youth dentistry</w:t>
      </w:r>
    </w:p>
    <w:bookmarkEnd w:id="26"/>
    <w:bookmarkStart w:id="27" w:name="conclusion"/>
    <w:p>
      <w:pPr>
        <w:pStyle w:val="Heading2"/>
      </w:pPr>
      <w:r>
        <w:t xml:space="preserve">Conclusion</w:t>
      </w:r>
    </w:p>
    <w:p>
      <w:pPr>
        <w:pStyle w:val="FirstParagraph"/>
      </w:pPr>
      <w:r>
        <w:t xml:space="preserve">This Annual Sales Report unequivocally demonstrates the financial strength and strategic maturity of our dental practice within the demanding United States New York City marketplace. Our success stems from deeply understanding local patient needs, implementing technology solutions tailored to urban healthcare delivery, and maintaining ethical pricing strategies that align with NYC's economic realities. As we move into 2024, we remain committed to elevating standards for</w:t>
      </w:r>
      <w:r>
        <w:t xml:space="preserve"> </w:t>
      </w:r>
      <w:r>
        <w:rPr>
          <w:bCs/>
          <w:b/>
        </w:rPr>
        <w:t xml:space="preserve">Dentist</w:t>
      </w:r>
      <w:r>
        <w:t xml:space="preserve"> </w:t>
      </w:r>
      <w:r>
        <w:t xml:space="preserve">practice in the nation's most vibrant city while delivering exceptional value to our patients and stakeholders.</w:t>
      </w:r>
    </w:p>
    <w:p>
      <w:pPr>
        <w:pStyle w:val="BodyText"/>
      </w:pPr>
      <w:r>
        <w:t xml:space="preserve">Prepared by: [Dental Practice Management Team]</w:t>
      </w:r>
      <w:r>
        <w:br/>
      </w:r>
      <w:r>
        <w:t xml:space="preserve">Report Date: January 15, 2024</w:t>
      </w:r>
      <w:r>
        <w:br/>
      </w:r>
      <w:r>
        <w:t xml:space="preserve">United States New York City - Serving Communities Since 2010</w:t>
      </w:r>
    </w:p>
    <w:p>
      <w:pPr>
        <w:pStyle w:val="BodyText"/>
      </w:pPr>
      <w:r>
        <w:rPr>
          <w:bCs/>
          <w:b/>
        </w:rPr>
        <w:t xml:space="preserve">Disclaimer:</w:t>
      </w:r>
      <w:r>
        <w:t xml:space="preserve"> </w:t>
      </w:r>
      <w:r>
        <w:t xml:space="preserve">This Sales Report reflects internal financial data and market analysis specific to the United States New York City dental practice operations. All figures are unaudited but verified against practice management software records. NYC healthcare regulations and economic factors may impact future projections.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Premier Dental Practice - New York City</dc:title>
  <dc:creator/>
  <dc:language>en</dc:language>
  <cp:keywords/>
  <dcterms:created xsi:type="dcterms:W3CDTF">2026-07-24T14:58:12Z</dcterms:created>
  <dcterms:modified xsi:type="dcterms:W3CDTF">2026-07-24T14:58:12Z</dcterms:modified>
</cp:coreProperties>
</file>

<file path=docProps/custom.xml><?xml version="1.0" encoding="utf-8"?>
<Properties xmlns="http://schemas.openxmlformats.org/officeDocument/2006/custom-properties" xmlns:vt="http://schemas.openxmlformats.org/officeDocument/2006/docPropsVTypes"/>
</file>