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Performance</w:t>
      </w:r>
      <w:r>
        <w:t xml:space="preserve"> </w:t>
      </w:r>
      <w:r>
        <w:t xml:space="preserve">-</w:t>
      </w:r>
      <w:r>
        <w:t xml:space="preserve"> </w:t>
      </w:r>
      <w:r>
        <w:t xml:space="preserve">Q3</w:t>
      </w:r>
      <w:r>
        <w:t xml:space="preserve"> </w:t>
      </w:r>
      <w:r>
        <w:t xml:space="preserve">2023</w:t>
      </w:r>
    </w:p>
    <w:bookmarkStart w:id="26" w:name="X66798967d34712efd54960905d63944e58ee06e"/>
    <w:p>
      <w:pPr>
        <w:pStyle w:val="Heading1"/>
      </w:pPr>
      <w:r>
        <w:t xml:space="preserve">Comprehensive Sales Report: Dental Services Market Analysis for Dentist Practices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Clinic Network, Uzbekistan Tashkent</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dental service network across Uzbekistan Tashkent during Q3 2023. The report confirms a robust 15.7% year-over-year revenue growth, driven by strategic expansion into emerging residential districts and increased patient acquisition through digital marketing initiatives tailored to Tashkent's urban demographic. Key highlights include a 22% increase in cosmetic dentistry consultations and sustained market leadership in pediatric dental services. The findings underscore the growing demand for professional dentist care in Uzbekistan's capital, positioning Tashkent as a critical growth hub for dental healthcare businesses.</w:t>
      </w:r>
    </w:p>
    <w:bookmarkEnd w:id="20"/>
    <w:bookmarkStart w:id="21" w:name="X7304aed047aedbbe5dd0222479ba6e04cf9a832"/>
    <w:p>
      <w:pPr>
        <w:pStyle w:val="Heading2"/>
      </w:pPr>
      <w:r>
        <w:t xml:space="preserve">II. Market Context: Dental Services Landscape in Uzbekistan Tashkent</w:t>
      </w:r>
    </w:p>
    <w:p>
      <w:pPr>
        <w:pStyle w:val="FirstParagraph"/>
      </w:pPr>
      <w:r>
        <w:t xml:space="preserve">Tashkent, as the economic and cultural heart of Uzbekistan, presents a dynamic market for dental services. With a population exceeding 2.5 million residents and rising disposable income among middle-class families, demand for accessible, high-quality dentist care has accelerated. According to recent Uzbekistan Health Ministry data (2023), only 38% of Tashkent residents access regular preventive dental check-ups—significantly below regional averages—indicating substantial market potential. Our Sales Report identifies this gap as a primary driver for our Q3 growth strategy, with clinics in districts like Chilanzar and Mirzo Ulug'bek experiencing the highest patient volume increases.</w:t>
      </w:r>
    </w:p>
    <w:p>
      <w:pPr>
        <w:pStyle w:val="BodyText"/>
      </w:pPr>
      <w:r>
        <w:t xml:space="preserve">Cultural factors also shape market behavior: Family-oriented dental packages and multilingual staff (Russian/English/Uzbek) have become essential differentiators for dentist practices targeting Tashkent's cosmopolitan population. The government's recent "Healthcare Modernization Initiative" in Uzbekistan further supports market expansion through clinic accreditation programs, directly benefiting our operations in Tashkent.</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MoM Growth (vs Q2)</w:t>
            </w:r>
          </w:p>
        </w:tc>
      </w:tr>
      <w:tr>
        <w:tc>
          <w:tcPr/>
          <w:p>
            <w:pPr>
              <w:pStyle w:val="Compact"/>
              <w:jc w:val="left"/>
            </w:pPr>
            <w:r>
              <w:t xml:space="preserve">Dental Check-ups &amp; Cleanings</w:t>
            </w:r>
          </w:p>
        </w:tc>
        <w:tc>
          <w:tcPr/>
          <w:p>
            <w:pPr>
              <w:pStyle w:val="Compact"/>
              <w:jc w:val="left"/>
            </w:pPr>
            <w:r>
              <w:t xml:space="preserve">3,850</w:t>
            </w:r>
          </w:p>
        </w:tc>
        <w:tc>
          <w:tcPr/>
          <w:p>
            <w:pPr>
              <w:pStyle w:val="Compact"/>
              <w:jc w:val="left"/>
            </w:pPr>
            <w:r>
              <w:t xml:space="preserve">42%</w:t>
            </w:r>
          </w:p>
        </w:tc>
        <w:tc>
          <w:tcPr/>
          <w:p>
            <w:pPr>
              <w:pStyle w:val="Compact"/>
              <w:jc w:val="left"/>
            </w:pPr>
            <w:r>
              <w:t xml:space="preserve">+18.5%</w:t>
            </w:r>
          </w:p>
        </w:tc>
      </w:tr>
      <w:tr>
        <w:tc>
          <w:tcPr/>
          <w:p>
            <w:pPr>
              <w:pStyle w:val="Compact"/>
              <w:jc w:val="left"/>
            </w:pPr>
            <w:r>
              <w:t xml:space="preserve">Cosmetic Procedures (Veneers, Whitening)</w:t>
            </w:r>
          </w:p>
        </w:tc>
        <w:tc>
          <w:tcPr/>
          <w:p>
            <w:pPr>
              <w:pStyle w:val="Compact"/>
              <w:jc w:val="left"/>
            </w:pPr>
            <w:r>
              <w:t xml:space="preserve">920</w:t>
            </w:r>
          </w:p>
        </w:tc>
        <w:tc>
          <w:tcPr/>
          <w:p>
            <w:pPr>
              <w:pStyle w:val="Compact"/>
              <w:jc w:val="left"/>
            </w:pPr>
            <w:r>
              <w:t xml:space="preserve">25%</w:t>
            </w:r>
          </w:p>
        </w:tc>
        <w:tc>
          <w:tcPr/>
          <w:p>
            <w:pPr>
              <w:pStyle w:val="Compact"/>
              <w:jc w:val="left"/>
            </w:pPr>
            <w:r>
              <w:t xml:space="preserve">+31.2%</w:t>
            </w:r>
          </w:p>
        </w:tc>
      </w:tr>
      <w:tr>
        <w:tc>
          <w:tcPr/>
          <w:p>
            <w:pPr>
              <w:pStyle w:val="Compact"/>
              <w:jc w:val="left"/>
            </w:pPr>
            <w:r>
              <w:t xml:space="preserve">Dental Implants</w:t>
            </w:r>
          </w:p>
        </w:tc>
        <w:tc>
          <w:tcPr/>
          <w:p>
            <w:pPr>
              <w:pStyle w:val="Compact"/>
              <w:jc w:val="left"/>
            </w:pPr>
            <w:r>
              <w:t xml:space="preserve">415</w:t>
            </w:r>
          </w:p>
        </w:tc>
        <w:tc>
          <w:tcPr/>
          <w:p>
            <w:pPr>
              <w:pStyle w:val="Compact"/>
              <w:jc w:val="left"/>
            </w:pPr>
            <w:r>
              <w:t xml:space="preserve">18%</w:t>
            </w:r>
          </w:p>
        </w:tc>
        <w:tc>
          <w:tcPr/>
          <w:p>
            <w:pPr>
              <w:pStyle w:val="Compact"/>
              <w:jc w:val="left"/>
            </w:pPr>
            <w:r>
              <w:t xml:space="preserve">+14.7%</w:t>
            </w:r>
          </w:p>
        </w:tc>
      </w:tr>
      <w:tr>
        <w:tc>
          <w:tcPr/>
          <w:p>
            <w:pPr>
              <w:pStyle w:val="Compact"/>
              <w:jc w:val="left"/>
            </w:pPr>
            <w:r>
              <w:t xml:space="preserve">Pediatric Dentistry</w:t>
            </w:r>
          </w:p>
        </w:tc>
        <w:tc>
          <w:tcPr/>
          <w:p>
            <w:pPr>
              <w:pStyle w:val="Compact"/>
              <w:jc w:val="left"/>
            </w:pPr>
            <w:r>
              <w:t xml:space="preserve">630</w:t>
            </w:r>
          </w:p>
        </w:tc>
        <w:tc>
          <w:tcPr/>
          <w:p>
            <w:pPr>
              <w:pStyle w:val="Compact"/>
              <w:jc w:val="left"/>
            </w:pPr>
            <w:r>
              <w:t xml:space="preserve">12%</w:t>
            </w:r>
          </w:p>
        </w:tc>
        <w:tc>
          <w:tcPr/>
          <w:p>
            <w:pPr>
              <w:pStyle w:val="Compact"/>
              <w:jc w:val="left"/>
            </w:pPr>
            <w:r>
              <w:t xml:space="preserve">+9.8%</w:t>
            </w:r>
          </w:p>
        </w:tc>
      </w:tr>
      <w:tr>
        <w:tc>
          <w:tcPr/>
          <w:p>
            <w:pPr>
              <w:pStyle w:val="Compact"/>
              <w:jc w:val="left"/>
            </w:pPr>
            <w:r>
              <w:t xml:space="preserve">Total Revenue (USD)</w:t>
            </w:r>
          </w:p>
        </w:tc>
        <w:tc>
          <w:tcPr>
            <w:gridSpan w:val="3"/>
          </w:tcPr>
          <w:p>
            <w:pPr>
              <w:pStyle w:val="Compact"/>
              <w:jc w:val="left"/>
            </w:pPr>
            <w:r>
              <w:t xml:space="preserve">$428,750</w:t>
            </w:r>
          </w:p>
        </w:tc>
      </w:tr>
    </w:tbl>
    <w:p>
      <w:pPr>
        <w:pStyle w:val="BodyText"/>
      </w:pPr>
      <w:r>
        <w:t xml:space="preserve">The Sales Report reveals significant shifts in patient behavior across Tashkent. Cosmetic dentistry growth is particularly notable, reflecting rising consumer awareness of dental aesthetics—a trend amplified by social media influence among Tashkent's youth demographic. Meanwhile, the 18.5% increase in check-ups indicates stronger preventive care adoption following our Q2 community outreach program at schools and corporate offices in Uzbekistan Tashkent.</w:t>
      </w:r>
    </w:p>
    <w:bookmarkEnd w:id="22"/>
    <w:bookmarkStart w:id="23" w:name="iv.-competitive-positioning-challenges"/>
    <w:p>
      <w:pPr>
        <w:pStyle w:val="Heading2"/>
      </w:pPr>
      <w:r>
        <w:t xml:space="preserve">IV. Competitive Positioning &amp; Challenges</w:t>
      </w:r>
    </w:p>
    <w:p>
      <w:pPr>
        <w:pStyle w:val="FirstParagraph"/>
      </w:pPr>
      <w:r>
        <w:t xml:space="preserve">Our dentist network maintains a 37% market share in premium dental services within Tashkent, outperforming local competitors by leveraging advanced digital imaging technology and transparent pricing models. However, the Sales Report identifies three critical challenges:</w:t>
      </w:r>
    </w:p>
    <w:p>
      <w:pPr>
        <w:numPr>
          <w:ilvl w:val="0"/>
          <w:numId w:val="1001"/>
        </w:numPr>
        <w:pStyle w:val="Compact"/>
      </w:pPr>
      <w:r>
        <w:rPr>
          <w:bCs/>
          <w:b/>
        </w:rPr>
        <w:t xml:space="preserve">Infrastructure Gaps:</w:t>
      </w:r>
      <w:r>
        <w:t xml:space="preserve"> </w:t>
      </w:r>
      <w:r>
        <w:t xml:space="preserve">Many older residential areas in Tashkent lack accessible clinics, requiring strategic expansion to districts like Uchtepa.</w:t>
      </w:r>
    </w:p>
    <w:p>
      <w:pPr>
        <w:numPr>
          <w:ilvl w:val="0"/>
          <w:numId w:val="1001"/>
        </w:numPr>
        <w:pStyle w:val="Compact"/>
      </w:pPr>
      <w:r>
        <w:rPr>
          <w:bCs/>
          <w:b/>
        </w:rPr>
        <w:t xml:space="preserve">Insurance Limitations:</w:t>
      </w:r>
      <w:r>
        <w:t xml:space="preserve"> </w:t>
      </w:r>
      <w:r>
        <w:t xml:space="preserve">Only 12% of Tashkent residents have dental insurance coverage (Uzbekistan Social Security Report, 2023), necessitating flexible payment plans for our dentist services.</w:t>
      </w:r>
    </w:p>
    <w:p>
      <w:pPr>
        <w:numPr>
          <w:ilvl w:val="0"/>
          <w:numId w:val="1001"/>
        </w:numPr>
        <w:pStyle w:val="Compact"/>
      </w:pPr>
      <w:r>
        <w:rPr>
          <w:bCs/>
          <w:b/>
        </w:rPr>
        <w:t xml:space="preserve">Cultural Perception:</w:t>
      </w:r>
      <w:r>
        <w:t xml:space="preserve"> </w:t>
      </w:r>
      <w:r>
        <w:t xml:space="preserve">Dental care remains viewed as "luxury" by some segments; educational campaigns targeting Uzbek families are ongoing to shift this mindset.</w:t>
      </w:r>
    </w:p>
    <w:bookmarkEnd w:id="23"/>
    <w:bookmarkStart w:id="24" w:name="Xfac9532fb5dc3c87e94c081b17177f8079714bd"/>
    <w:p>
      <w:pPr>
        <w:pStyle w:val="Heading2"/>
      </w:pPr>
      <w:r>
        <w:t xml:space="preserve">V. Strategic Recommendations for Future Growth</w:t>
      </w:r>
    </w:p>
    <w:p>
      <w:pPr>
        <w:pStyle w:val="FirstParagraph"/>
      </w:pPr>
      <w:r>
        <w:t xml:space="preserve">Based on this Q3 Sales Report, we recommend the following actions to solidify our position as Tashkent's leading dentist provider:</w:t>
      </w:r>
    </w:p>
    <w:p>
      <w:pPr>
        <w:numPr>
          <w:ilvl w:val="0"/>
          <w:numId w:val="1002"/>
        </w:numPr>
        <w:pStyle w:val="Compact"/>
      </w:pPr>
      <w:r>
        <w:rPr>
          <w:bCs/>
          <w:b/>
        </w:rPr>
        <w:t xml:space="preserve">Expand in High-Growth Districts:</w:t>
      </w:r>
      <w:r>
        <w:t xml:space="preserve"> </w:t>
      </w:r>
      <w:r>
        <w:t xml:space="preserve">Open satellite clinics in Navoiy and Bektemir districts (projected 28% population growth by 2025) to capture underserved Tashkent neighborhoods.</w:t>
      </w:r>
    </w:p>
    <w:p>
      <w:pPr>
        <w:numPr>
          <w:ilvl w:val="0"/>
          <w:numId w:val="1002"/>
        </w:numPr>
        <w:pStyle w:val="Compact"/>
      </w:pPr>
      <w:r>
        <w:rPr>
          <w:bCs/>
          <w:b/>
        </w:rPr>
        <w:t xml:space="preserve">Digital Patient Acquisition:</w:t>
      </w:r>
      <w:r>
        <w:t xml:space="preserve"> </w:t>
      </w:r>
      <w:r>
        <w:t xml:space="preserve">Launch localized Facebook/Instagram campaigns in Uzbek language targeting Tashkent professionals, leveraging influencer partnerships with local health advocates.</w:t>
      </w:r>
    </w:p>
    <w:p>
      <w:pPr>
        <w:numPr>
          <w:ilvl w:val="0"/>
          <w:numId w:val="1002"/>
        </w:numPr>
        <w:pStyle w:val="Compact"/>
      </w:pPr>
      <w:r>
        <w:rPr>
          <w:bCs/>
          <w:b/>
        </w:rPr>
        <w:t xml:space="preserve">Corporate Wellness Partnerships:</w:t>
      </w:r>
      <w:r>
        <w:t xml:space="preserve"> </w:t>
      </w:r>
      <w:r>
        <w:t xml:space="preserve">Develop tailored dental packages for major employers (e.g., Uzum, MTS) across Uzbekistan Tashkent, aligning with corporate health initiatives.</w:t>
      </w:r>
    </w:p>
    <w:p>
      <w:pPr>
        <w:numPr>
          <w:ilvl w:val="0"/>
          <w:numId w:val="1002"/>
        </w:numPr>
        <w:pStyle w:val="Compact"/>
      </w:pPr>
      <w:r>
        <w:rPr>
          <w:bCs/>
          <w:b/>
        </w:rPr>
        <w:t xml:space="preserve">Training Enhancement:</w:t>
      </w:r>
      <w:r>
        <w:t xml:space="preserve"> </w:t>
      </w:r>
      <w:r>
        <w:t xml:space="preserve">Invest in advanced cosmetic dentistry certification for our dentist team to support high-margin service growth.</w:t>
      </w:r>
    </w:p>
    <w:bookmarkEnd w:id="24"/>
    <w:bookmarkStart w:id="25" w:name="Xe570229c3814e70316fcf11c5fe8274bff478ac"/>
    <w:p>
      <w:pPr>
        <w:pStyle w:val="Heading2"/>
      </w:pPr>
      <w:r>
        <w:t xml:space="preserve">VI. Conclusion: The Future of Dentist Services in Uzbekistan Tashkent</w:t>
      </w:r>
    </w:p>
    <w:p>
      <w:pPr>
        <w:pStyle w:val="FirstParagraph"/>
      </w:pPr>
      <w:r>
        <w:t xml:space="preserve">This comprehensive Sales Report confirms that the dental market in Uzbekistan Tashkent is transitioning from a reactive care model to one centered on prevention and aesthetics. With our clinic network's Q3 performance demonstrating sustainable growth despite macroeconomic fluctuations, we are well-positioned for continued expansion across the region. The consistent demand—evidenced by our 15.7% revenue increase—proves that professional dentist services have become a non-negotiable component of urban health infrastructure in Tashkent.</w:t>
      </w:r>
    </w:p>
    <w:p>
      <w:pPr>
        <w:pStyle w:val="BodyText"/>
      </w:pPr>
      <w:r>
        <w:t xml:space="preserve">As Uzbekistan advances its healthcare modernization goals, dental care will increasingly intersect with national wellness strategies. Our commitment to culturally responsive service delivery, technology integration, and community engagement ensures we remain at the forefront of this evolution. The success documented in this Sales Report isn't merely a quarterly achievement—it's a blueprint for building Tashkent's most trusted dentist brand while contributing to Uzbekistan's broader healthcare advancement.</w:t>
      </w:r>
    </w:p>
    <w:p>
      <w:pPr>
        <w:pStyle w:val="BodyText"/>
      </w:pPr>
      <w:r>
        <w:rPr>
          <w:bCs/>
          <w:b/>
        </w:rPr>
        <w:t xml:space="preserve">Prepared By:</w:t>
      </w:r>
      <w:r>
        <w:t xml:space="preserve"> </w:t>
      </w:r>
      <w:r>
        <w:t xml:space="preserve">Strategic Insights Division, Dental Market Intelligence Team</w:t>
      </w:r>
      <w:r>
        <w:br/>
      </w:r>
      <w:r>
        <w:rPr>
          <w:bCs/>
          <w:b/>
        </w:rPr>
        <w:t xml:space="preserve">Contact:</w:t>
      </w:r>
      <w:r>
        <w:t xml:space="preserve"> </w:t>
      </w:r>
      <w:r>
        <w:t xml:space="preserve">tashkent.dentalreport@uzahealth.com | +998 71 234 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Tashkent Market Performance - Q3 2023</dc:title>
  <dc:creator/>
  <dc:language>en</dc:language>
  <cp:keywords/>
  <dcterms:created xsi:type="dcterms:W3CDTF">2026-06-03T03:01:37Z</dcterms:created>
  <dcterms:modified xsi:type="dcterms:W3CDTF">2026-06-03T03:01:37Z</dcterms:modified>
</cp:coreProperties>
</file>

<file path=docProps/custom.xml><?xml version="1.0" encoding="utf-8"?>
<Properties xmlns="http://schemas.openxmlformats.org/officeDocument/2006/custom-properties" xmlns:vt="http://schemas.openxmlformats.org/officeDocument/2006/docPropsVTypes"/>
</file>