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Caracas</w:t>
      </w:r>
      <w:r>
        <w:t xml:space="preserve"> </w:t>
      </w:r>
      <w:r>
        <w:t xml:space="preserve">Dental</w:t>
      </w:r>
      <w:r>
        <w:t xml:space="preserve"> </w:t>
      </w:r>
      <w:r>
        <w:t xml:space="preserve">Practice</w:t>
      </w:r>
      <w:r>
        <w:t xml:space="preserve"> </w:t>
      </w:r>
      <w:r>
        <w:t xml:space="preserve">(Venezuela)</w:t>
      </w:r>
    </w:p>
    <w:bookmarkStart w:id="28" w:name="Xd2d1b8034745dde9cdf193e01cb0ff403600995"/>
    <w:p>
      <w:pPr>
        <w:pStyle w:val="Heading1"/>
      </w:pPr>
      <w:r>
        <w:t xml:space="preserve">Comprehensive Sales Report: Premier Dental Services in Venezuela Caracas</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Caracas, Venezuela</w:t>
      </w:r>
    </w:p>
    <w:bookmarkStart w:id="20" w:name="i.-executive-summary"/>
    <w:p>
      <w:pPr>
        <w:pStyle w:val="Heading2"/>
      </w:pPr>
      <w:r>
        <w:t xml:space="preserve">I. Executive Summary</w:t>
      </w:r>
    </w:p>
    <w:p>
      <w:pPr>
        <w:pStyle w:val="FirstParagraph"/>
      </w:pPr>
      <w:r>
        <w:t xml:space="preserve">This Sales Report details the operational and financial performance of our leading dental practice in Venezuela Caracas during Q3 2023. Despite ongoing economic challenges within the Venezuelan market, our commitment to quality patient care and adaptive business strategies has driven significant growth in key service areas. This document serves as a critical analysis of sales trends, patient acquisition metrics, and strategic initiatives tailored specifically for the unique dynamics of the Caracas dental landscape. Our focus remains firmly on delivering exceptional dentistry while navigating the complexities of Venezuela's current environment.</w:t>
      </w:r>
    </w:p>
    <w:bookmarkEnd w:id="20"/>
    <w:bookmarkStart w:id="21" w:name="X9409cf20366d02bf3eeb2a281ba2437b39f33fa"/>
    <w:p>
      <w:pPr>
        <w:pStyle w:val="Heading2"/>
      </w:pPr>
      <w:r>
        <w:t xml:space="preserve">II. Market Context: Venezuela Caracas Dental Sector</w:t>
      </w:r>
    </w:p>
    <w:p>
      <w:pPr>
        <w:pStyle w:val="FirstParagraph"/>
      </w:pPr>
      <w:r>
        <w:t xml:space="preserve">The dental services market in Venezuela Caracas is characterized by high demand for quality care, intensified by limited access to affordable options for many residents. Inflation, currency volatility, and supply chain disruptions present significant operational hurdles. However, our practice has positioned itself as a reliable provider of premium services within the Caracas community. This Sales Report highlights how we are not only surviving but thriving in this complex market by focusing on patient trust and service excellence specific to Venezuela Caracas' needs.</w:t>
      </w:r>
    </w:p>
    <w:bookmarkEnd w:id="21"/>
    <w:bookmarkStart w:id="22" w:name="iii.-q3-2023-sales-performance-overview"/>
    <w:p>
      <w:pPr>
        <w:pStyle w:val="Heading2"/>
      </w:pPr>
      <w:r>
        <w:t xml:space="preserve">III. Q3 2023 Sales Performance Overview</w:t>
      </w:r>
    </w:p>
    <w:p>
      <w:pPr>
        <w:pStyle w:val="FirstParagraph"/>
      </w:pPr>
      <w:r>
        <w:rPr>
          <w:bCs/>
          <w:b/>
        </w:rPr>
        <w:t xml:space="preserve">Total Revenue:</w:t>
      </w:r>
      <w:r>
        <w:t xml:space="preserve"> </w:t>
      </w:r>
      <w:r>
        <w:t xml:space="preserve">$18,500 USD (Equivalent to approximately 7,850,000 VEF at the official rate; reflecting our USD-denominated pricing strategy for stability)</w:t>
      </w:r>
      <w:r>
        <w:br/>
      </w:r>
      <w:r>
        <w:rPr>
          <w:bCs/>
          <w:b/>
        </w:rPr>
        <w:t xml:space="preserve">Comparison to Q2 2023:</w:t>
      </w:r>
      <w:r>
        <w:t xml:space="preserve"> </w:t>
      </w:r>
      <w:r>
        <w:t xml:space="preserve">+14.7% Increase in Revenue</w:t>
      </w:r>
      <w:r>
        <w:br/>
      </w:r>
      <w:r>
        <w:rPr>
          <w:bCs/>
          <w:b/>
        </w:rPr>
        <w:t xml:space="preserve">Total Patient Visits:</w:t>
      </w:r>
      <w:r>
        <w:t xml:space="preserve"> </w:t>
      </w:r>
      <w:r>
        <w:t xml:space="preserve">685 (15% Increase from Q2)</w:t>
      </w:r>
      <w:r>
        <w:br/>
      </w:r>
      <w:r>
        <w:rPr>
          <w:bCs/>
          <w:b/>
        </w:rPr>
        <w:t xml:space="preserve">Key Growth Areas:</w:t>
      </w:r>
    </w:p>
    <w:p>
      <w:pPr>
        <w:numPr>
          <w:ilvl w:val="0"/>
          <w:numId w:val="1001"/>
        </w:numPr>
        <w:pStyle w:val="Compact"/>
      </w:pPr>
      <w:r>
        <w:rPr>
          <w:bCs/>
          <w:b/>
        </w:rPr>
        <w:t xml:space="preserve">Cosmetic Dentistry (Lumineers, Veneers):</w:t>
      </w:r>
      <w:r>
        <w:t xml:space="preserve"> </w:t>
      </w:r>
      <w:r>
        <w:t xml:space="preserve">+32% revenue growth. High demand driven by Caracas residents seeking confidence and aesthetic improvement despite economic pressures.</w:t>
      </w:r>
    </w:p>
    <w:p>
      <w:pPr>
        <w:numPr>
          <w:ilvl w:val="0"/>
          <w:numId w:val="1001"/>
        </w:numPr>
        <w:pStyle w:val="Compact"/>
      </w:pPr>
      <w:r>
        <w:rPr>
          <w:bCs/>
          <w:b/>
        </w:rPr>
        <w:t xml:space="preserve">Pediatric Dentistry:</w:t>
      </w:r>
      <w:r>
        <w:t xml:space="preserve"> </w:t>
      </w:r>
      <w:r>
        <w:t xml:space="preserve">+18% growth. Strong community engagement through school programs in Chacao and El Recreo neighborhoods.</w:t>
      </w:r>
    </w:p>
    <w:p>
      <w:pPr>
        <w:numPr>
          <w:ilvl w:val="0"/>
          <w:numId w:val="1001"/>
        </w:numPr>
        <w:pStyle w:val="Compact"/>
      </w:pPr>
      <w:r>
        <w:rPr>
          <w:bCs/>
          <w:b/>
        </w:rPr>
        <w:t xml:space="preserve">Dental Implants:</w:t>
      </w:r>
      <w:r>
        <w:t xml:space="preserve"> </w:t>
      </w:r>
      <w:r>
        <w:t xml:space="preserve">+25% growth. Demonstrates patient willingness to invest in long-term oral health solutions as economic conditions stabilize for some segments.</w:t>
      </w:r>
    </w:p>
    <w:p>
      <w:pPr>
        <w:numPr>
          <w:ilvl w:val="0"/>
          <w:numId w:val="1001"/>
        </w:numPr>
        <w:pStyle w:val="Compact"/>
      </w:pPr>
      <w:r>
        <w:rPr>
          <w:bCs/>
          <w:b/>
        </w:rPr>
        <w:t xml:space="preserve">Emergency Care (Same-Day Appointments):</w:t>
      </w:r>
      <w:r>
        <w:t xml:space="preserve"> </w:t>
      </w:r>
      <w:r>
        <w:t xml:space="preserve">+9% growth. Critical service maintaining high patient retention in Venezuela Caracas.</w:t>
      </w:r>
    </w:p>
    <w:bookmarkEnd w:id="22"/>
    <w:bookmarkStart w:id="23" w:name="Xaadbe28713c7efb5de6399d707fb2b00f8e6257"/>
    <w:p>
      <w:pPr>
        <w:pStyle w:val="Heading2"/>
      </w:pPr>
      <w:r>
        <w:t xml:space="preserve">IV. Key Factors Driving Success in Venezuela Caracas</w:t>
      </w:r>
    </w:p>
    <w:p>
      <w:pPr>
        <w:pStyle w:val="FirstParagraph"/>
      </w:pPr>
      <w:r>
        <w:t xml:space="preserve">This Sales Report identifies three primary factors contributing to our sustained growth within the challenging Venezuelan economy:</w:t>
      </w:r>
    </w:p>
    <w:p>
      <w:pPr>
        <w:numPr>
          <w:ilvl w:val="0"/>
          <w:numId w:val="1002"/>
        </w:numPr>
        <w:pStyle w:val="Compact"/>
      </w:pPr>
      <w:r>
        <w:rPr>
          <w:bCs/>
          <w:b/>
        </w:rPr>
        <w:t xml:space="preserve">Adaptive Pricing Strategy:</w:t>
      </w:r>
      <w:r>
        <w:t xml:space="preserve"> </w:t>
      </w:r>
      <w:r>
        <w:t xml:space="preserve">We successfully implemented a flexible, USD-based pricing model for premium services while maintaining essential care options in VEF for local patients. This addresses Venezuela Caracas' critical need for financial predictability amidst hyperinflation.</w:t>
      </w:r>
    </w:p>
    <w:p>
      <w:pPr>
        <w:numPr>
          <w:ilvl w:val="0"/>
          <w:numId w:val="1002"/>
        </w:numPr>
        <w:pStyle w:val="Compact"/>
      </w:pPr>
      <w:r>
        <w:rPr>
          <w:bCs/>
          <w:b/>
        </w:rPr>
        <w:t xml:space="preserve">Community Trust Building:</w:t>
      </w:r>
      <w:r>
        <w:t xml:space="preserve"> </w:t>
      </w:r>
      <w:r>
        <w:t xml:space="preserve">Our practice actively participates in free dental camps across Caracas (including Petare and Los Teques outskirts), significantly increasing brand visibility and patient acquisition in underserved areas of Venezuela.</w:t>
      </w:r>
    </w:p>
    <w:p>
      <w:pPr>
        <w:numPr>
          <w:ilvl w:val="0"/>
          <w:numId w:val="1002"/>
        </w:numPr>
        <w:pStyle w:val="Compact"/>
      </w:pPr>
      <w:r>
        <w:rPr>
          <w:bCs/>
          <w:b/>
        </w:rPr>
        <w:t xml:space="preserve">Enhanced Patient Portal &amp; Telehealth:</w:t>
      </w:r>
      <w:r>
        <w:t xml:space="preserve"> </w:t>
      </w:r>
      <w:r>
        <w:t xml:space="preserve">Launched a localized mobile app for appointment scheduling, virtual consultations (especially popular for follow-ups), and payment management. This innovation directly addresses the transportation challenges prevalent in Venezuela Caracas and improved patient satisfaction scores by 22%.</w:t>
      </w:r>
    </w:p>
    <w:bookmarkEnd w:id="23"/>
    <w:bookmarkStart w:id="24" w:name="X5b82461450d773ac1fe9bcb8ac83f3ab978f60b"/>
    <w:p>
      <w:pPr>
        <w:pStyle w:val="Heading2"/>
      </w:pPr>
      <w:r>
        <w:t xml:space="preserve">V. Patient Acquisition &amp; Retention Analysis</w:t>
      </w:r>
    </w:p>
    <w:p>
      <w:pPr>
        <w:pStyle w:val="FirstParagraph"/>
      </w:pPr>
      <w:r>
        <w:rPr>
          <w:bCs/>
          <w:b/>
        </w:rPr>
        <w:t xml:space="preserve">New Patient Sources (Q3 2023):</w:t>
      </w:r>
    </w:p>
    <w:p>
      <w:pPr>
        <w:numPr>
          <w:ilvl w:val="0"/>
          <w:numId w:val="1003"/>
        </w:numPr>
        <w:pStyle w:val="Compact"/>
      </w:pPr>
      <w:r>
        <w:t xml:space="preserve">Referrals from Existing Patients: 48% (Highest source, reflecting strong satisfaction)</w:t>
      </w:r>
    </w:p>
    <w:p>
      <w:pPr>
        <w:numPr>
          <w:ilvl w:val="0"/>
          <w:numId w:val="1003"/>
        </w:numPr>
        <w:pStyle w:val="Compact"/>
      </w:pPr>
      <w:r>
        <w:t xml:space="preserve">Online Search (Local SEO &amp; Google Maps): 25%</w:t>
      </w:r>
    </w:p>
    <w:p>
      <w:pPr>
        <w:numPr>
          <w:ilvl w:val="0"/>
          <w:numId w:val="1003"/>
        </w:numPr>
        <w:pStyle w:val="Compact"/>
      </w:pPr>
      <w:r>
        <w:t xml:space="preserve">Dental Camps &amp; Community Events: 18%</w:t>
      </w:r>
    </w:p>
    <w:p>
      <w:pPr>
        <w:numPr>
          <w:ilvl w:val="0"/>
          <w:numId w:val="1003"/>
        </w:numPr>
        <w:pStyle w:val="Compact"/>
      </w:pPr>
      <w:r>
        <w:t xml:space="preserve">Social Media Campaigns (Facebook/Instagram focused on Caracas): 9%</w:t>
      </w:r>
    </w:p>
    <w:p>
      <w:pPr>
        <w:pStyle w:val="FirstParagraph"/>
      </w:pPr>
      <w:r>
        <w:rPr>
          <w:bCs/>
          <w:b/>
        </w:rPr>
        <w:t xml:space="preserve">Patient Retention Rate:</w:t>
      </w:r>
      <w:r>
        <w:t xml:space="preserve"> </w:t>
      </w:r>
      <w:r>
        <w:t xml:space="preserve">76% (Significantly above regional average of 65%). This exceptional figure underscores our commitment to the dentist-patient relationship in Venezuela, a cornerstone of sustainable practice growth. Our loyalty program (including free annual check-ups for active members) is a key driver.</w:t>
      </w:r>
    </w:p>
    <w:bookmarkEnd w:id="24"/>
    <w:bookmarkStart w:id="25" w:name="vi.-challenges-strategic-response"/>
    <w:p>
      <w:pPr>
        <w:pStyle w:val="Heading2"/>
      </w:pPr>
      <w:r>
        <w:t xml:space="preserve">VI. Challenges &amp; Strategic Response</w:t>
      </w:r>
    </w:p>
    <w:p>
      <w:pPr>
        <w:pStyle w:val="FirstParagraph"/>
      </w:pPr>
      <w:r>
        <w:t xml:space="preserve">This Sales Report acknowledges the persistent challenges specific to operating a dentist practice in Venezuela Caracas:</w:t>
      </w:r>
    </w:p>
    <w:p>
      <w:pPr>
        <w:numPr>
          <w:ilvl w:val="0"/>
          <w:numId w:val="1004"/>
        </w:numPr>
        <w:pStyle w:val="Compact"/>
      </w:pPr>
      <w:r>
        <w:rPr>
          <w:iCs/>
          <w:i/>
        </w:rPr>
        <w:t xml:space="preserve">Supply Chain Volatility:</w:t>
      </w:r>
      <w:r>
        <w:t xml:space="preserve"> </w:t>
      </w:r>
      <w:r>
        <w:t xml:space="preserve">Critical dental materials (e.g., certain cements, composites) faced shortages due to import restrictions. Response: Diversified suppliers across Colombia and Mexico; built strategic 6-month stockpiles for essential items.</w:t>
      </w:r>
    </w:p>
    <w:p>
      <w:pPr>
        <w:numPr>
          <w:ilvl w:val="0"/>
          <w:numId w:val="1004"/>
        </w:numPr>
        <w:pStyle w:val="Compact"/>
      </w:pPr>
      <w:r>
        <w:rPr>
          <w:iCs/>
          <w:i/>
        </w:rPr>
        <w:t xml:space="preserve">Currency Uncertainty:</w:t>
      </w:r>
      <w:r>
        <w:t xml:space="preserve"> </w:t>
      </w:r>
      <w:r>
        <w:t xml:space="preserve">Fluctuating exchange rates impacted costs of imported equipment. Response: Shifted all premium service pricing to USD, providing clear value perception to patients while stabilizing practice finances.</w:t>
      </w:r>
    </w:p>
    <w:p>
      <w:pPr>
        <w:numPr>
          <w:ilvl w:val="0"/>
          <w:numId w:val="1004"/>
        </w:numPr>
        <w:pStyle w:val="Compact"/>
      </w:pPr>
      <w:r>
        <w:rPr>
          <w:iCs/>
          <w:i/>
        </w:rPr>
        <w:t xml:space="preserve">Patient Affordability:</w:t>
      </w:r>
      <w:r>
        <w:t xml:space="preserve"> </w:t>
      </w:r>
      <w:r>
        <w:t xml:space="preserve">Economic hardship limited access for some. Response: Introduced a "Dental Savings Plan" (monthly VEF payments) for essential preventative care packages, increasing accessibility without compromising service quality.</w:t>
      </w:r>
    </w:p>
    <w:bookmarkEnd w:id="25"/>
    <w:bookmarkStart w:id="26" w:name="Xa85ea4a7beda599792c127cc18c2e1c5f9dddee"/>
    <w:p>
      <w:pPr>
        <w:pStyle w:val="Heading2"/>
      </w:pPr>
      <w:r>
        <w:t xml:space="preserve">VII. Q4 2023 Strategic Focus &amp; Sales Projections</w:t>
      </w:r>
    </w:p>
    <w:p>
      <w:pPr>
        <w:pStyle w:val="FirstParagraph"/>
      </w:pPr>
      <w:r>
        <w:t xml:space="preserve">Based on this successful Sales Report and Q3 data, our strategic focus for the fourth quarter includes:</w:t>
      </w:r>
    </w:p>
    <w:p>
      <w:pPr>
        <w:numPr>
          <w:ilvl w:val="0"/>
          <w:numId w:val="1005"/>
        </w:numPr>
        <w:pStyle w:val="Compact"/>
      </w:pPr>
      <w:r>
        <w:rPr>
          <w:bCs/>
          <w:b/>
        </w:rPr>
        <w:t xml:space="preserve">Expand Dental Tourism Outreach:</w:t>
      </w:r>
      <w:r>
        <w:t xml:space="preserve"> </w:t>
      </w:r>
      <w:r>
        <w:t xml:space="preserve">Targeting patients from neighboring countries (Colombia, Peru) seeking high-quality, cost-effective dentistry in Venezuela Caracas. Initial partnerships with travel agencies show promising leads.</w:t>
      </w:r>
    </w:p>
    <w:p>
      <w:pPr>
        <w:numPr>
          <w:ilvl w:val="0"/>
          <w:numId w:val="1005"/>
        </w:numPr>
        <w:pStyle w:val="Compact"/>
      </w:pPr>
      <w:r>
        <w:rPr>
          <w:bCs/>
          <w:b/>
        </w:rPr>
        <w:t xml:space="preserve">Launch In-House Orthodontic Services:</w:t>
      </w:r>
      <w:r>
        <w:t xml:space="preserve"> </w:t>
      </w:r>
      <w:r>
        <w:t xml:space="preserve">Adding braces and clear aligners to the service portfolio to capture a growing segment of the Caracas market demanding orthodontic solutions.</w:t>
      </w:r>
    </w:p>
    <w:p>
      <w:pPr>
        <w:numPr>
          <w:ilvl w:val="0"/>
          <w:numId w:val="1005"/>
        </w:numPr>
        <w:pStyle w:val="Compact"/>
      </w:pPr>
      <w:r>
        <w:rPr>
          <w:bCs/>
          <w:b/>
        </w:rPr>
        <w:t xml:space="preserve">Deepen Community Partnerships:</w:t>
      </w:r>
      <w:r>
        <w:t xml:space="preserve"> </w:t>
      </w:r>
      <w:r>
        <w:t xml:space="preserve">Formalizing agreements with 3 major Caracas public schools for annual preventive dental programs, directly linking community health initiatives with patient acquisition.</w:t>
      </w:r>
    </w:p>
    <w:p>
      <w:pPr>
        <w:pStyle w:val="FirstParagraph"/>
      </w:pPr>
      <w:r>
        <w:rPr>
          <w:bCs/>
          <w:b/>
        </w:rPr>
        <w:t xml:space="preserve">Q4 Revenue Projection:</w:t>
      </w:r>
      <w:r>
        <w:t xml:space="preserve"> </w:t>
      </w:r>
      <w:r>
        <w:t xml:space="preserve">$21,200 USD (Approx. +15% over Q3), driven by new service lines and strategic partnerships. This projection is conservative yet achievable within the Venezuela Caracas market context.</w:t>
      </w:r>
    </w:p>
    <w:bookmarkEnd w:id="26"/>
    <w:bookmarkStart w:id="27" w:name="viii.-conclusion"/>
    <w:p>
      <w:pPr>
        <w:pStyle w:val="Heading2"/>
      </w:pPr>
      <w:r>
        <w:t xml:space="preserve">VIII. Conclusion</w:t>
      </w:r>
    </w:p>
    <w:p>
      <w:pPr>
        <w:pStyle w:val="FirstParagraph"/>
      </w:pPr>
      <w:r>
        <w:t xml:space="preserve">The Q3 2023 Sales Report for our Caracas dental practice underscores a resilient business model built on patient-centric values, strategic adaptation to Venezuela's unique economic realities, and unwavering commitment to high-quality dentistry. We are not merely providing dental services; we are building trust and improving oral health outcomes across diverse communities in Venezuela Caracas. Our success demonstrates that a proactive approach focused on service excellence, community engagement, and financial agility can yield strong results even in challenging markets. This document serves as both a testament to our current performance and a roadmap for continued growth as we navigate the future of dentistry in Venezuela.</w:t>
      </w:r>
    </w:p>
    <w:p>
      <w:pPr>
        <w:pStyle w:val="BodyText"/>
      </w:pPr>
      <w:r>
        <w:rPr>
          <w:bCs/>
          <w:b/>
        </w:rPr>
        <w:t xml:space="preserve">Prepared By:</w:t>
      </w:r>
      <w:r>
        <w:t xml:space="preserve"> </w:t>
      </w:r>
      <w:r>
        <w:t xml:space="preserve">[Your Name/Department]</w:t>
      </w:r>
      <w:r>
        <w:br/>
      </w:r>
      <w:r>
        <w:rPr>
          <w:bCs/>
          <w:b/>
        </w:rPr>
        <w:t xml:space="preserve">Dental Practice Management, Caracas, Venezuela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Caracas Dental Practice (Venezuela)</dc:title>
  <dc:creator/>
  <dc:language>en</dc:language>
  <cp:keywords/>
  <dcterms:created xsi:type="dcterms:W3CDTF">2026-07-21T06:12:12Z</dcterms:created>
  <dcterms:modified xsi:type="dcterms:W3CDTF">2026-07-21T06:12:12Z</dcterms:modified>
</cp:coreProperties>
</file>

<file path=docProps/custom.xml><?xml version="1.0" encoding="utf-8"?>
<Properties xmlns="http://schemas.openxmlformats.org/officeDocument/2006/custom-properties" xmlns:vt="http://schemas.openxmlformats.org/officeDocument/2006/docPropsVTypes"/>
</file>