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33" w:name="Xf918991addbc6e7e063a2c6cd64b07dc1d45d23"/>
    <w:p>
      <w:pPr>
        <w:pStyle w:val="Heading1"/>
      </w:pPr>
      <w:r>
        <w:t xml:space="preserve">Comprehensive Sales Report: Dietitian Service Performance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 &amp; Nutrition Division, International Aid Organization</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dietitian services across Afghanistan Kabul during the first nine months of 2023. Despite significant geopolitical and economic challenges, our Dietitian service has achieved remarkable growth, with a 147% increase in client engagements compared to the same period last year. This success demonstrates growing market demand for specialized nutritional care in Kabul's healthcare landscape. The report underscores how strategic adaptation to Afghanistan Kabul's unique context has driven our sales momentum while addressing critical public health needs.</w:t>
      </w:r>
    </w:p>
    <w:bookmarkEnd w:id="20"/>
    <w:bookmarkStart w:id="22" w:name="Xadc0d77c56372ff2c5f57c91c4a7d254759f5d4"/>
    <w:p>
      <w:pPr>
        <w:pStyle w:val="Heading2"/>
      </w:pPr>
      <w:r>
        <w:t xml:space="preserve">II. Market Context: Dietitian Demand in Afghanistan Kabul</w:t>
      </w:r>
    </w:p>
    <w:p>
      <w:pPr>
        <w:pStyle w:val="FirstParagraph"/>
      </w:pPr>
      <w:r>
        <w:t xml:space="preserve">Operating within Afghanistan Kabul requires deep understanding of the region's health priorities. With over 40% of children under five suffering from stunting and rising obesity rates among urban populations, demand for professional Dietitian services has become critical. Our market analysis reveals a 65% year-on-year increase in requests for nutritional consultations across Kabul's public hospitals and private clinics. This surge directly correlates with increased awareness campaigns about diabetes management and maternal health – key priorities identified in the Kabul Health Sector Strategy 2023-2025.</w:t>
      </w:r>
    </w:p>
    <w:bookmarkStart w:id="21" w:name="key-demand-drivers"/>
    <w:p>
      <w:pPr>
        <w:pStyle w:val="Heading3"/>
      </w:pPr>
      <w:r>
        <w:t xml:space="preserve">Key Demand Drivers:</w:t>
      </w:r>
    </w:p>
    <w:p>
      <w:pPr>
        <w:numPr>
          <w:ilvl w:val="0"/>
          <w:numId w:val="1001"/>
        </w:numPr>
        <w:pStyle w:val="Compact"/>
      </w:pPr>
      <w:r>
        <w:rPr>
          <w:bCs/>
          <w:b/>
        </w:rPr>
        <w:t xml:space="preserve">Urbanization Pressures:</w:t>
      </w:r>
      <w:r>
        <w:t xml:space="preserve"> </w:t>
      </w:r>
      <w:r>
        <w:t xml:space="preserve">Rapid population growth in Kabul has intensified malnutrition challenges (UNICEF, 2023)</w:t>
      </w:r>
    </w:p>
    <w:p>
      <w:pPr>
        <w:numPr>
          <w:ilvl w:val="0"/>
          <w:numId w:val="1001"/>
        </w:numPr>
        <w:pStyle w:val="Compact"/>
      </w:pPr>
      <w:r>
        <w:rPr>
          <w:bCs/>
          <w:b/>
        </w:rPr>
        <w:t xml:space="preserve">Rising Chronic Diseases:</w:t>
      </w:r>
      <w:r>
        <w:t xml:space="preserve"> </w:t>
      </w:r>
      <w:r>
        <w:t xml:space="preserve">Diabetes cases have increased by 38% since 2019 in urban centers</w:t>
      </w:r>
    </w:p>
    <w:p>
      <w:pPr>
        <w:numPr>
          <w:ilvl w:val="0"/>
          <w:numId w:val="1001"/>
        </w:numPr>
        <w:pStyle w:val="Compact"/>
      </w:pPr>
      <w:r>
        <w:rPr>
          <w:bCs/>
          <w:b/>
        </w:rPr>
        <w:t xml:space="preserve">Gender-Specific Needs:</w:t>
      </w:r>
      <w:r>
        <w:t xml:space="preserve"> </w:t>
      </w:r>
      <w:r>
        <w:t xml:space="preserve">Female health workers now account for 76% of our Dietitian consultations (compared to 52% in 2021)</w:t>
      </w:r>
    </w:p>
    <w:bookmarkEnd w:id="21"/>
    <w:bookmarkEnd w:id="22"/>
    <w:bookmarkStart w:id="24" w:name="X4474bd85c7d309ee797e04e164f3db398c07e7f"/>
    <w:p>
      <w:pPr>
        <w:pStyle w:val="Heading2"/>
      </w:pPr>
      <w:r>
        <w:t xml:space="preserve">III. Sales Performance: Quantitative Analysis</w:t>
      </w:r>
    </w:p>
    <w:p>
      <w:pPr>
        <w:pStyle w:val="FirstParagraph"/>
      </w:pPr>
      <w:r>
        <w:t xml:space="preserve">The Sales Report highlights exceptional growth across all service lines:</w:t>
      </w:r>
    </w:p>
    <w:p>
      <w:pPr>
        <w:pStyle w:val="BodyText"/>
      </w:pPr>
      <w:r>
        <w:t xml:space="preserve">Service Type</w:t>
      </w:r>
    </w:p>
    <w:p>
      <w:pPr>
        <w:pStyle w:val="BodyText"/>
      </w:pPr>
      <w:r>
        <w:t xml:space="preserve">Q1 2023 Units</w:t>
      </w:r>
    </w:p>
    <w:p>
      <w:pPr>
        <w:pStyle w:val="BodyText"/>
      </w:pPr>
      <w:r>
        <w:t xml:space="preserve">Q3 2023 Units</w:t>
      </w:r>
    </w:p>
    <w:p>
      <w:pPr>
        <w:pStyle w:val="BodyText"/>
      </w:pPr>
      <w:r>
        <w:t xml:space="preserve">% Growth (YTD)</w:t>
      </w:r>
    </w:p>
    <w:p>
      <w:pPr>
        <w:pStyle w:val="BodyText"/>
      </w:pPr>
      <w:r>
        <w:t xml:space="preserve">Individual Consultations (Kabul Clinics)</w:t>
      </w:r>
    </w:p>
    <w:p>
      <w:pPr>
        <w:pStyle w:val="BodyText"/>
      </w:pPr>
      <w:r>
        <w:t xml:space="preserve">185</w:t>
      </w:r>
    </w:p>
    <w:p>
      <w:pPr>
        <w:pStyle w:val="BodyText"/>
      </w:pPr>
      <w:r>
        <w:t xml:space="preserve">472</w:t>
      </w:r>
    </w:p>
    <w:p>
      <w:pPr>
        <w:pStyle w:val="BodyText"/>
      </w:pPr>
      <w:r>
        <w:t xml:space="preserve">155%</w:t>
      </w:r>
    </w:p>
    <w:p>
      <w:pPr>
        <w:pStyle w:val="BodyText"/>
      </w:pPr>
      <w:r>
        <w:t xml:space="preserve">Military Wellness Programs</w:t>
      </w:r>
    </w:p>
    <w:p>
      <w:pPr>
        <w:pStyle w:val="BodyText"/>
      </w:pPr>
      <w:r>
        <w:t xml:space="preserve">320</w:t>
      </w:r>
    </w:p>
    <w:p>
      <w:pPr>
        <w:pStyle w:val="BodyText"/>
      </w:pPr>
      <w:r>
        <w:t xml:space="preserve">680</w:t>
      </w:r>
    </w:p>
    <w:p>
      <w:pPr>
        <w:pStyle w:val="BodyText"/>
      </w:pPr>
      <w:r>
        <w:t xml:space="preserve">112%</w:t>
      </w:r>
    </w:p>
    <w:p>
      <w:pPr>
        <w:pStyle w:val="BodyText"/>
      </w:pPr>
      <w:r>
        <w:t xml:space="preserve">Nutrition Education Workshops (Community)</w:t>
      </w:r>
    </w:p>
    <w:p>
      <w:pPr>
        <w:pStyle w:val="BodyText"/>
      </w:pPr>
      <w:r>
        <w:t xml:space="preserve">45</w:t>
      </w:r>
    </w:p>
    <w:p>
      <w:pPr>
        <w:pStyle w:val="BodyText"/>
      </w:pPr>
      <w:r>
        <w:rPr>
          <w:bCs/>
          <w:b/>
        </w:rPr>
        <w:t xml:space="preserve">Total Revenue Generated:</w:t>
      </w:r>
      <w:r>
        <w:t xml:space="preserve"> </w:t>
      </w:r>
      <w:r>
        <w:t xml:space="preserve">$142,800 USD (up 132% from 2022)</w:t>
      </w:r>
    </w:p>
    <w:p>
      <w:pPr>
        <w:pStyle w:val="BodyText"/>
      </w:pPr>
      <w:r>
        <w:rPr>
          <w:bCs/>
          <w:b/>
        </w:rPr>
        <w:t xml:space="preserve">Client Retention Rate:</w:t>
      </w:r>
      <w:r>
        <w:t xml:space="preserve"> </w:t>
      </w:r>
      <w:r>
        <w:t xml:space="preserve">78% – significantly higher than the regional average of 54%</w:t>
      </w:r>
    </w:p>
    <w:bookmarkStart w:id="23" w:name="geographic-sales-distribution-kabul-city"/>
    <w:p>
      <w:pPr>
        <w:pStyle w:val="Heading3"/>
      </w:pPr>
      <w:r>
        <w:t xml:space="preserve">Geographic Sales Distribution (Kabul City):</w:t>
      </w:r>
    </w:p>
    <w:p>
      <w:pPr>
        <w:numPr>
          <w:ilvl w:val="0"/>
          <w:numId w:val="1002"/>
        </w:numPr>
        <w:pStyle w:val="Compact"/>
      </w:pPr>
      <w:r>
        <w:t xml:space="preserve">Kabul City Center: 42% of all Dietitian service sales</w:t>
      </w:r>
    </w:p>
    <w:p>
      <w:pPr>
        <w:numPr>
          <w:ilvl w:val="0"/>
          <w:numId w:val="1002"/>
        </w:numPr>
        <w:pStyle w:val="Compact"/>
      </w:pPr>
      <w:r>
        <w:t xml:space="preserve">Shahr-e-Naw District: 28% (highest growth segment)</w:t>
      </w:r>
    </w:p>
    <w:p>
      <w:pPr>
        <w:numPr>
          <w:ilvl w:val="0"/>
          <w:numId w:val="1002"/>
        </w:numPr>
        <w:pStyle w:val="Compact"/>
      </w:pPr>
      <w:r>
        <w:t xml:space="preserve">Pakistan Street Corridor: 19% (primarily military personnel and NGOs)</w:t>
      </w:r>
    </w:p>
    <w:p>
      <w:pPr>
        <w:numPr>
          <w:ilvl w:val="0"/>
          <w:numId w:val="1002"/>
        </w:numPr>
        <w:pStyle w:val="Compact"/>
      </w:pPr>
      <w:r>
        <w:t xml:space="preserve">Rural Satellite Clinics (within 50km of Kabul): 11%</w:t>
      </w:r>
    </w:p>
    <w:bookmarkEnd w:id="23"/>
    <w:bookmarkEnd w:id="24"/>
    <w:bookmarkStart w:id="28" w:name="X7e0ba2acf7b2612e0995f43916b49abf3b4a177"/>
    <w:p>
      <w:pPr>
        <w:pStyle w:val="Heading2"/>
      </w:pPr>
      <w:r>
        <w:t xml:space="preserve">IV. Strategic Adaptation to Afghanistan Kabul's Environment</w:t>
      </w:r>
    </w:p>
    <w:p>
      <w:pPr>
        <w:pStyle w:val="FirstParagraph"/>
      </w:pPr>
      <w:r>
        <w:t xml:space="preserve">Our Sales Report reveals how tailored approaches drove success in Afghanistan Kabul:</w:t>
      </w:r>
    </w:p>
    <w:bookmarkStart w:id="25" w:name="a.-cultural-integration"/>
    <w:p>
      <w:pPr>
        <w:pStyle w:val="Heading3"/>
      </w:pPr>
      <w:r>
        <w:t xml:space="preserve">A. Cultural Integration:</w:t>
      </w:r>
    </w:p>
    <w:p>
      <w:pPr>
        <w:pStyle w:val="FirstParagraph"/>
      </w:pPr>
      <w:r>
        <w:t xml:space="preserve">We trained all Dietitian staff in Pashto and Dari nutritional terminology, creating 30+ culturally adapted meal plans using locally available ingredients (e.g., replacing Western grains with local wheat varieties). This reduced client no-show rates by 41% as community trust increased.</w:t>
      </w:r>
    </w:p>
    <w:bookmarkEnd w:id="25"/>
    <w:bookmarkStart w:id="26" w:name="b.-logistics-innovation"/>
    <w:p>
      <w:pPr>
        <w:pStyle w:val="Heading3"/>
      </w:pPr>
      <w:r>
        <w:t xml:space="preserve">B. Logistics Innovation:</w:t>
      </w:r>
    </w:p>
    <w:p>
      <w:pPr>
        <w:pStyle w:val="FirstParagraph"/>
      </w:pPr>
      <w:r>
        <w:t xml:space="preserve">Given Kabul's transportation challenges, we implemented mobile Dietitian units operating from renovated UN vehicles. This increased outreach to remote neighborhoods like Mina Bazaar and Dasht-e-Barchi, capturing 24% of new sales in the second half of 2023.</w:t>
      </w:r>
    </w:p>
    <w:bookmarkEnd w:id="26"/>
    <w:bookmarkStart w:id="27" w:name="c.-partnership-strategy"/>
    <w:p>
      <w:pPr>
        <w:pStyle w:val="Heading3"/>
      </w:pPr>
      <w:r>
        <w:t xml:space="preserve">C. Partnership Strategy:</w:t>
      </w:r>
    </w:p>
    <w:p>
      <w:pPr>
        <w:pStyle w:val="FirstParagraph"/>
      </w:pPr>
      <w:r>
        <w:t xml:space="preserve">Collaboration with Kabul University's Nutrition Department resulted in a joint certification program, generating 17% of all sales through academic referrals – a channel we hadn't previously exploited.</w:t>
      </w:r>
    </w:p>
    <w:bookmarkEnd w:id="27"/>
    <w:bookmarkEnd w:id="28"/>
    <w:bookmarkStart w:id="29" w:name="v.-challenges-and-mitigation-strategies"/>
    <w:p>
      <w:pPr>
        <w:pStyle w:val="Heading2"/>
      </w:pPr>
      <w:r>
        <w:t xml:space="preserve">V. Challenges and Mitigation Strategies</w:t>
      </w:r>
    </w:p>
    <w:p>
      <w:pPr>
        <w:pStyle w:val="FirstParagraph"/>
      </w:pPr>
      <w:r>
        <w:t xml:space="preserve">The Sales Report identifies three critical challenges specific to Afghanistan Kabul:</w:t>
      </w:r>
    </w:p>
    <w:p>
      <w:pPr>
        <w:numPr>
          <w:ilvl w:val="0"/>
          <w:numId w:val="1003"/>
        </w:numPr>
        <w:pStyle w:val="Compact"/>
      </w:pPr>
      <w:r>
        <w:rPr>
          <w:bCs/>
          <w:b/>
        </w:rPr>
        <w:t xml:space="preserve">Resource Constraints:</w:t>
      </w:r>
      <w:r>
        <w:t xml:space="preserve"> </w:t>
      </w:r>
      <w:r>
        <w:t xml:space="preserve">Fuel shortages delayed mobile units by 3-5 days weekly. *Mitigation:* Implemented solar-powered consultation kits for field teams, reducing dependency on fuel.</w:t>
      </w:r>
    </w:p>
    <w:p>
      <w:pPr>
        <w:numPr>
          <w:ilvl w:val="0"/>
          <w:numId w:val="1003"/>
        </w:numPr>
        <w:pStyle w:val="Compact"/>
      </w:pPr>
      <w:r>
        <w:rPr>
          <w:bCs/>
          <w:b/>
        </w:rPr>
        <w:t xml:space="preserve">Currency Volatility:</w:t>
      </w:r>
      <w:r>
        <w:t xml:space="preserve"> </w:t>
      </w:r>
      <w:r>
        <w:t xml:space="preserve">Afghani devaluation increased service costs. *Mitigation:* Introduced tiered pricing in USD and local currency with flexible payment plans (accepted by 89% of clients).</w:t>
      </w:r>
    </w:p>
    <w:p>
      <w:pPr>
        <w:numPr>
          <w:ilvl w:val="0"/>
          <w:numId w:val="1003"/>
        </w:numPr>
        <w:pStyle w:val="Compact"/>
      </w:pPr>
      <w:r>
        <w:rPr>
          <w:bCs/>
          <w:b/>
        </w:rPr>
        <w:t xml:space="preserve">Security Concerns:</w:t>
      </w:r>
      <w:r>
        <w:t xml:space="preserve"> </w:t>
      </w:r>
      <w:r>
        <w:t xml:space="preserve">Reduced mobility during Ramadan. *Mitigation:* Shifted to virtual consultations via encrypted Afghan telecom channels, maintaining 92% service continuity.</w:t>
      </w:r>
    </w:p>
    <w:bookmarkEnd w:id="29"/>
    <w:bookmarkStart w:id="30" w:name="X0083713bc5b7e776cd7fa486edae0fc7ee0d738"/>
    <w:p>
      <w:pPr>
        <w:pStyle w:val="Heading2"/>
      </w:pPr>
      <w:r>
        <w:t xml:space="preserve">VI. Future Growth Projections for Dietitian Services</w:t>
      </w:r>
    </w:p>
    <w:p>
      <w:pPr>
        <w:pStyle w:val="FirstParagraph"/>
      </w:pPr>
      <w:r>
        <w:t xml:space="preserve">Leveraging current momentum, we project the following for 2024:</w:t>
      </w:r>
    </w:p>
    <w:p>
      <w:pPr>
        <w:numPr>
          <w:ilvl w:val="0"/>
          <w:numId w:val="1004"/>
        </w:numPr>
        <w:pStyle w:val="Compact"/>
      </w:pPr>
      <w:r>
        <w:t xml:space="preserve">180% increase in corporate wellness contracts (targeting Kabul's expanding private sector)</w:t>
      </w:r>
    </w:p>
    <w:p>
      <w:pPr>
        <w:numPr>
          <w:ilvl w:val="0"/>
          <w:numId w:val="1004"/>
        </w:numPr>
        <w:pStyle w:val="Compact"/>
      </w:pPr>
      <w:r>
        <w:t xml:space="preserve">Expansion to 3 new district health centers in Kabul</w:t>
      </w:r>
    </w:p>
    <w:p>
      <w:pPr>
        <w:numPr>
          <w:ilvl w:val="0"/>
          <w:numId w:val="1004"/>
        </w:numPr>
        <w:pStyle w:val="Compact"/>
      </w:pPr>
      <w:r>
        <w:t xml:space="preserve">Development of a female-led Dietitian training program – critical for women's health services</w:t>
      </w:r>
    </w:p>
    <w:p>
      <w:pPr>
        <w:pStyle w:val="FirstParagraph"/>
      </w:pPr>
      <w:r>
        <w:t xml:space="preserve">The Afghanistan Kabul market shows exceptional potential for scaling Dietitian services. With our current sales trajectory, we anticipate capturing 12% of the formal nutritional care market in Kabul by Q2 2024 – up from just 3% at the start of 2023.</w:t>
      </w:r>
    </w:p>
    <w:bookmarkEnd w:id="30"/>
    <w:bookmarkStart w:id="32" w:name="X499bbb00c340f3a82740d34e6fcebefa7b18234"/>
    <w:p>
      <w:pPr>
        <w:pStyle w:val="Heading2"/>
      </w:pPr>
      <w:r>
        <w:t xml:space="preserve">VII. Conclusion: The Critical Role of Dietitian Services</w:t>
      </w:r>
    </w:p>
    <w:p>
      <w:pPr>
        <w:pStyle w:val="FirstParagraph"/>
      </w:pPr>
      <w:r>
        <w:t xml:space="preserve">This Sales Report confirms that professional Dietitian services are not merely a health necessity but a strategic investment in Afghanistan Kabul's future. As nutrition directly impacts economic productivity and child survival rates, our service has become an essential component of community resilience. The 147% sales growth demonstrates clear market validation of our approach – proving that culturally responsive Dietitian care can thrive even in complex environments.</w:t>
      </w:r>
    </w:p>
    <w:p>
      <w:pPr>
        <w:pStyle w:val="BodyText"/>
      </w:pPr>
      <w:r>
        <w:t xml:space="preserve">Looking ahead, we recommend doubling down on mobile unit operations and female Dietitian recruitment to maximize reach across Kabul's diverse communities. As this Sales Report shows, investing in nutritional expertise delivers both humanitarian impact and sustainable business growth – a vital combination for Afghanistan Kabul's healthcare evolution.</w:t>
      </w:r>
    </w:p>
    <w:bookmarkStart w:id="31" w:name="prepared-by"/>
    <w:p>
      <w:pPr>
        <w:pStyle w:val="Heading3"/>
      </w:pPr>
      <w:r>
        <w:t xml:space="preserve">Prepared By:</w:t>
      </w:r>
    </w:p>
    <w:p>
      <w:pPr>
        <w:pStyle w:val="FirstParagraph"/>
      </w:pPr>
      <w:r>
        <w:t xml:space="preserve">Afghanistan Health Analytics Team</w:t>
      </w:r>
      <w:r>
        <w:br/>
      </w:r>
      <w:r>
        <w:t xml:space="preserve">Kabul, Afghanistan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Afghanistan Kabul</dc:title>
  <dc:creator/>
  <dc:language>en</dc:language>
  <cp:keywords/>
  <dcterms:created xsi:type="dcterms:W3CDTF">2025-12-13T21:50:40Z</dcterms:created>
  <dcterms:modified xsi:type="dcterms:W3CDTF">2025-12-13T21:50:40Z</dcterms:modified>
</cp:coreProperties>
</file>

<file path=docProps/custom.xml><?xml version="1.0" encoding="utf-8"?>
<Properties xmlns="http://schemas.openxmlformats.org/officeDocument/2006/custom-properties" xmlns:vt="http://schemas.openxmlformats.org/officeDocument/2006/docPropsVTypes"/>
</file>