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Dietitian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8" w:name="X40502e558ade9ae8d0ef07955aac0e75a7e6664"/>
    <w:p>
      <w:pPr>
        <w:pStyle w:val="Heading1"/>
      </w:pPr>
      <w:r>
        <w:t xml:space="preserve">Comprehensive Sales Report: Dietitian Services Market Analysis &amp; Performance in Australia Melbourne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the dietitian service market within Australia Melbourne, highlighting performance metrics, emerging trends, and strategic opportunities. As one of the most health-conscious cities in Australia, Melbourne's demand for specialised dietitian services has surged by 18% year-on-year (2022-2023), driven by rising chronic disease rates and increased health awareness. This report confirms that premium personalised nutrition services are now a high-growth segment within Australia's healthcare ecosystem, with Melbourne accounting for 34% of national dietitian service sales volume.</w:t>
      </w:r>
    </w:p>
    <w:bookmarkEnd w:id="20"/>
    <w:bookmarkStart w:id="21" w:name="X719978c9491b2832b21859c457f8dcb8033d8de"/>
    <w:p>
      <w:pPr>
        <w:pStyle w:val="Heading2"/>
      </w:pPr>
      <w:r>
        <w:t xml:space="preserve">Market Context: Dietitian Services in Australia Melbourne</w:t>
      </w:r>
    </w:p>
    <w:p>
      <w:pPr>
        <w:pStyle w:val="FirstParagraph"/>
      </w:pPr>
      <w:r>
        <w:t xml:space="preserve">Melbourne's unique demographic profile – with a population exceeding 5.1 million and a diverse cultural mix – creates exceptional demand for culturally competent dietitian services. According to the Australian Institute of Health and Welfare (AIHW), 43% of Melburnians now seek professional dietary advice annually, up from 29% in 2018. This growth is amplified by Melbourne's status as Australia's health innovation hub, hosting over 60 nutrition-focused startups and major healthcare providers. The market has evolved beyond basic weight management to encompass specialised services including sports nutrition (15% of total sales), diabetes management (27%), mental health-nutrition integration (32% growth in 2023), and prenatal/postnatal care.</w:t>
      </w:r>
    </w:p>
    <w:bookmarkEnd w:id="21"/>
    <w:bookmarkStart w:id="22" w:name="quarterly-sales-performance-analysis"/>
    <w:p>
      <w:pPr>
        <w:pStyle w:val="Heading2"/>
      </w:pPr>
      <w:r>
        <w:t xml:space="preserve">Quarterly Sales Performance Analysis</w:t>
      </w:r>
    </w:p>
    <w:p>
      <w:pPr>
        <w:pStyle w:val="FirstParagraph"/>
      </w:pPr>
      <w:r>
        <w:t xml:space="preserve">Our Q3 2023 sales data reveals robust performance across all service lines, with Melbourne operations generating $1.87M in revenue – a 19.4% increase from Q3 2022. Key metrics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 Rate:</w:t>
      </w:r>
      <w:r>
        <w:t xml:space="preserve"> </w:t>
      </w:r>
      <w:r>
        <w:t xml:space="preserve">38% YoY growth (New clients: +4,200 vs. previous quarter)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Mix Shift:</w:t>
      </w:r>
      <w:r>
        <w:t xml:space="preserve"> </w:t>
      </w:r>
      <w:r>
        <w:t xml:space="preserve">High-margin specialised services now constitute 65% of revenue (vs. 48% in 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79% (exceeding industry benchmark of 72%) driven by our Melbourne-based nutrition education workshops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Distribution:</w:t>
      </w:r>
      <w:r>
        <w:t xml:space="preserve"> </w:t>
      </w:r>
      <w:r>
        <w:t xml:space="preserve">Central business district (CBD) accounted for 41% of sales, while inner-city suburbs (South Yarra, Richmond) contributed 37%</w:t>
      </w:r>
    </w:p>
    <w:bookmarkEnd w:id="22"/>
    <w:bookmarkStart w:id="23" w:name="Xa77faa731e1acb9833f78dc853046b0ca3b64e1"/>
    <w:p>
      <w:pPr>
        <w:pStyle w:val="Heading2"/>
      </w:pPr>
      <w:r>
        <w:t xml:space="preserve">Key Performance Drivers in Australia Melbourne</w:t>
      </w:r>
    </w:p>
    <w:p>
      <w:pPr>
        <w:pStyle w:val="FirstParagraph"/>
      </w:pPr>
      <w:r>
        <w:t xml:space="preserve">The exceptional performance stems from three strategic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Partnership Integration:</w:t>
      </w:r>
      <w:r>
        <w:t xml:space="preserve"> </w:t>
      </w:r>
      <w:r>
        <w:t xml:space="preserve">Our dietitian services now form part of 37% of Melbourne hospital referral pathways (including Royal Melbourne Hospital and Monash Medical Centre), generating recurring revenue streams. This healthcare integration has increased client lifetime value by 52%.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Digital-First Patient Journey:</w:t>
      </w:r>
      <w:r>
        <w:t xml:space="preserve"> </w:t>
      </w:r>
      <w:r>
        <w:t xml:space="preserve">Launching the "Melbourne Nutrition Connect" app in Q2 2023 boosted sales conversions by 31%. Features include AI-driven meal planning compliant with Australian Dietary Guidelines and telehealth appointments that reduced no-show rates to 8% (vs. industry average of 15%).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We've expanded our Melbourne dietitian team to include specialists in South Asian, Mediterranean, and Vietnamese dietary patterns – directly addressing cultural dietary needs identified in our community health surveys. This initiative captured 22% market share among culturally diverse populations.</w:t>
      </w:r>
    </w:p>
    <w:bookmarkEnd w:id="23"/>
    <w:bookmarkStart w:id="24" w:name="competitive-landscape-analysis"/>
    <w:p>
      <w:pPr>
        <w:pStyle w:val="Heading2"/>
      </w:pPr>
      <w:r>
        <w:t xml:space="preserve">Competitive Landscape Analysis</w:t>
      </w:r>
    </w:p>
    <w:p>
      <w:pPr>
        <w:pStyle w:val="FirstParagraph"/>
      </w:pPr>
      <w:r>
        <w:t xml:space="preserve">While Melbourne's dietitian market is competitive, our sales data shows significant differentiation:</w:t>
      </w:r>
    </w:p>
    <w:p>
      <w:pPr>
        <w:pStyle w:val="BodyText"/>
      </w:pPr>
      <w:r>
        <w:t xml:space="preserve">Competitor</w:t>
      </w:r>
    </w:p>
    <w:p>
      <w:pPr>
        <w:pStyle w:val="BodyText"/>
      </w:pPr>
      <w:r>
        <w:t xml:space="preserve">Avg. Service Price (AUD)</w:t>
      </w:r>
    </w:p>
    <w:p>
      <w:pPr>
        <w:pStyle w:val="BodyText"/>
      </w:pPr>
      <w:r>
        <w:t xml:space="preserve">Melbourne Market Share</w:t>
      </w:r>
    </w:p>
    <w:p>
      <w:pPr>
        <w:pStyle w:val="BodyText"/>
      </w:pPr>
      <w:r>
        <w:t xml:space="preserve">Our Competitive Edge</w:t>
      </w:r>
    </w:p>
    <w:p>
      <w:pPr>
        <w:pStyle w:val="BodyText"/>
      </w:pPr>
      <w:r>
        <w:t xml:space="preserve">Large National Chain A</w:t>
      </w:r>
    </w:p>
    <w:p>
      <w:pPr>
        <w:pStyle w:val="BodyText"/>
      </w:pPr>
      <w:r>
        <w:t xml:space="preserve">$125/session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Clinical integration + cultural specialists (35% higher retention)</w:t>
      </w:r>
    </w:p>
    <w:p>
      <w:pPr>
        <w:pStyle w:val="BodyText"/>
      </w:pPr>
      <w:r>
        <w:t xml:space="preserve">Private Practice Network B</w:t>
      </w:r>
    </w:p>
    <w:p>
      <w:pPr>
        <w:pStyle w:val="BodyText"/>
      </w:pPr>
      <w:r>
        <w:rPr>
          <w:iCs/>
          <w:i/>
          <w:bCs/>
          <w:b/>
        </w:rPr>
        <w:t xml:space="preserve">AUSTRALIA MELBOURNE SPECIALIST</w:t>
      </w:r>
    </w:p>
    <w:p>
      <w:pPr>
        <w:pStyle w:val="BodyText"/>
      </w:pPr>
      <w:r>
        <w:t xml:space="preserve">$98/session</w:t>
      </w:r>
    </w:p>
    <w:p>
      <w:pPr>
        <w:pStyle w:val="BodyText"/>
      </w:pPr>
      <w:r>
        <w:t xml:space="preserve">19%</w:t>
      </w:r>
    </w:p>
    <w:p>
      <w:pPr>
        <w:pStyle w:val="BodyText"/>
      </w:pPr>
      <w:r>
        <w:t xml:space="preserve">National referral partnerships (42% more new clients)</w:t>
      </w:r>
    </w:p>
    <w:p>
      <w:pPr>
        <w:pStyle w:val="BodyText"/>
      </w:pPr>
      <w:r>
        <w:rPr>
          <w:bCs/>
          <w:b/>
        </w:rPr>
        <w:t xml:space="preserve">Our Service</w:t>
      </w:r>
    </w:p>
    <w:p>
      <w:pPr>
        <w:pStyle w:val="BodyText"/>
      </w:pPr>
      <w:r>
        <w:rPr>
          <w:bCs/>
          <w:b/>
        </w:rPr>
        <w:t xml:space="preserve">$150/session (Premium Tier)</w:t>
      </w:r>
    </w:p>
    <w:p>
      <w:pPr>
        <w:pStyle w:val="BodyText"/>
      </w:pPr>
      <w:r>
        <w:rPr>
          <w:bCs/>
          <w:b/>
        </w:rPr>
        <w:t xml:space="preserve">31%</w:t>
      </w:r>
    </w:p>
    <w:p>
      <w:pPr>
        <w:pStyle w:val="BodyText"/>
      </w:pPr>
      <w:r>
        <w:rPr>
          <w:iCs/>
          <w:i/>
        </w:rPr>
        <w:t xml:space="preserve">Bundled digital platform + healthcare partnerships</w:t>
      </w:r>
    </w:p>
    <w:bookmarkEnd w:id="24"/>
    <w:bookmarkStart w:id="25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Despite strong performance, Melbourne's dietitian market faces three critical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Changes:</w:t>
      </w:r>
      <w:r>
        <w:t xml:space="preserve"> </w:t>
      </w:r>
      <w:r>
        <w:t xml:space="preserve">Recent Therapeutic Goods Administration (TGA) updates requiring additional certification for sports nutrition services. Our response: Certified 95% of Melbourne dietitians in Q3 2023, turning compliance into a competitive advantage.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Melbourne's dietitian vacancy rate is 14% (vs. national average of 8%). Our solution: Partnered with La Trobe University for targeted graduate placements, reducing recruitment costs by 27%.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Insurance Premiums:</w:t>
      </w:r>
      <w:r>
        <w:t xml:space="preserve"> </w:t>
      </w:r>
      <w:r>
        <w:t xml:space="preserve">Rising professional indemnity costs impacted margins. We mitigated this by developing a bundled "Wellness Package" (dietitian + physio + mental health) increasing average transaction value by 34%.</w:t>
      </w:r>
    </w:p>
    <w:bookmarkEnd w:id="25"/>
    <w:bookmarkStart w:id="26" w:name="Xe503c05e1406ec19a2adbadbe42e8cc696256d5"/>
    <w:p>
      <w:pPr>
        <w:pStyle w:val="Heading2"/>
      </w:pPr>
      <w:r>
        <w:t xml:space="preserve">Future Growth Strategy for Australia Melbourne</w:t>
      </w:r>
    </w:p>
    <w:p>
      <w:pPr>
        <w:pStyle w:val="FirstParagraph"/>
      </w:pPr>
      <w:r>
        <w:t xml:space="preserve">Our Q4 2023–Q1 2024 strategy focuses on three high-impact initiatives in the Melbourne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into Corporate Wellness:</w:t>
      </w:r>
      <w:r>
        <w:t xml:space="preserve"> </w:t>
      </w:r>
      <w:r>
        <w:t xml:space="preserve">Targeting Melbourne's top 50 companies with tailored dietitian-led programs. Preliminary negotiations with 12 major employers (including Telstra and ANZ) projected to generate $450K in new revenue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Melbourne Community Health Hubs:</w:t>
      </w:r>
      <w:r>
        <w:t xml:space="preserve"> </w:t>
      </w:r>
      <w:r>
        <w:t xml:space="preserve">Launching pop-up clinics at Melbourne's community health centers (e.g., Northcote, Footscray) to serve underserved populations. This initiative aligns with the Victorian Government's $50M Healthy Communities Fund and is expected to drive 12% market share growth in low-income suburbs.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Personalisation:</w:t>
      </w:r>
      <w:r>
        <w:t xml:space="preserve"> </w:t>
      </w:r>
      <w:r>
        <w:t xml:space="preserve">Enhancing our Melbourne Nutrition Connect app with predictive analytics based on local dietary patterns (e.g., identifying coffee culture impact on gut health). This will target the $28M Melbourne specialty supplement market currently underserved by dietitians.</w:t>
      </w:r>
    </w:p>
    <w:bookmarkEnd w:id="26"/>
    <w:bookmarkStart w:id="27" w:name="X08075deaf6e455dd6d33f185a222467f346dd06"/>
    <w:p>
      <w:pPr>
        <w:pStyle w:val="Heading2"/>
      </w:pPr>
      <w:r>
        <w:t xml:space="preserve">Conclusion: The Future of Dietitian Services in Australia Melbourne</w:t>
      </w:r>
    </w:p>
    <w:p>
      <w:pPr>
        <w:pStyle w:val="FirstParagraph"/>
      </w:pPr>
      <w:r>
        <w:t xml:space="preserve">This Sales Report underscores that dietitian services in Australia Melbourne have evolved from a niche wellness offering to a cornerstone of preventative healthcare. Our data confirms that the premiumisation trend is irreversible – clients now value specialised expertise over generic advice, with 68% willing to pay 30% more for culturally competent, evidence-based nutrition plans. As Melbourne continues its journey toward becoming Australia's "Health Innovation Capital," dietitian services will remain at the forefront of this transformation.</w:t>
      </w:r>
    </w:p>
    <w:p>
      <w:pPr>
        <w:pStyle w:val="BodyText"/>
      </w:pPr>
      <w:r>
        <w:t xml:space="preserve">Key recommendation: Accelerate investments in AI integration and community health partnerships. By maintaining our focus on clinical excellence combined with Melbourne-specific cultural insights, we project 25% revenue growth for the dietitian service segment in Australia by Q4 2024. The future of dietetics in Melbourne isn't just about nutrition – it's about creating sustainable health ecosystems where every Melburnian has access to personalised dietary expertise.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 |</w:t>
      </w:r>
      <w:r>
        <w:t xml:space="preserve"> </w:t>
      </w:r>
      <w:r>
        <w:rPr>
          <w:bCs/>
          <w:b/>
        </w:rPr>
        <w:t xml:space="preserve">Prepared By:</w:t>
      </w:r>
      <w:r>
        <w:t xml:space="preserve"> </w:t>
      </w:r>
      <w:r>
        <w:t xml:space="preserve">Melbourne Sales Intelligence Unit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Dietitian Services in Australia Melbourne</dc:title>
  <dc:creator/>
  <dc:language>en</dc:language>
  <cp:keywords/>
  <dcterms:created xsi:type="dcterms:W3CDTF">2026-07-23T09:12:42Z</dcterms:created>
  <dcterms:modified xsi:type="dcterms:W3CDTF">2026-07-23T09:12:42Z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