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Dietitian</w:t>
      </w:r>
      <w:r>
        <w:t xml:space="preserve"> </w:t>
      </w:r>
      <w:r>
        <w:t xml:space="preserve">Services</w:t>
      </w:r>
      <w:r>
        <w:t xml:space="preserve"> </w:t>
      </w:r>
      <w:r>
        <w:t xml:space="preserve">Performance</w:t>
      </w:r>
      <w:r>
        <w:t xml:space="preserve"> </w:t>
      </w:r>
      <w:r>
        <w:t xml:space="preserve">-</w:t>
      </w:r>
      <w:r>
        <w:t xml:space="preserve"> </w:t>
      </w:r>
      <w:r>
        <w:t xml:space="preserve">Australia</w:t>
      </w:r>
      <w:r>
        <w:t xml:space="preserve"> </w:t>
      </w:r>
      <w:r>
        <w:t xml:space="preserve">Sydney</w:t>
      </w:r>
    </w:p>
    <w:bookmarkStart w:id="28" w:name="Xff5a7ef6f233856c801d5bf0d7a5a93c70d32c7"/>
    <w:p>
      <w:pPr>
        <w:pStyle w:val="Heading1"/>
      </w:pPr>
      <w:r>
        <w:t xml:space="preserve">Comprehensive Sales Report: Dietitian Service Performance Analysis (Australia Sydney)</w:t>
      </w:r>
    </w:p>
    <w:bookmarkStart w:id="20" w:name="executive-summary"/>
    <w:p>
      <w:pPr>
        <w:pStyle w:val="Heading2"/>
      </w:pPr>
      <w:r>
        <w:t xml:space="preserve">Executive Summary</w:t>
      </w:r>
    </w:p>
    <w:p>
      <w:pPr>
        <w:pStyle w:val="FirstParagraph"/>
      </w:pPr>
      <w:r>
        <w:t xml:space="preserve">This Sales Report presents a detailed analysis of dietary services performance across Sydney, Australia for Q3 2023. The report demonstrates exceptional growth in demand for registered dietitian services within the Australian healthcare landscape, with Sydney emerging as the nation's leading market. Our dietitian service portfolio achieved a remarkable 37% year-on-year revenue increase, reaching $1.84 million AUD, significantly outperforming national industry averages of 12%. This success underscores the critical role of specialized nutrition professionals in Australia's evolving health ecosystem and positions Sydney as the epicenter for premium dietary care.</w:t>
      </w:r>
    </w:p>
    <w:bookmarkEnd w:id="20"/>
    <w:bookmarkStart w:id="21" w:name="X30fdb186d0c6fa379b3372463b273b6026e5d0d"/>
    <w:p>
      <w:pPr>
        <w:pStyle w:val="Heading2"/>
      </w:pPr>
      <w:r>
        <w:t xml:space="preserve">Market Context: Dietitian Demand in Australia Sydney</w:t>
      </w:r>
    </w:p>
    <w:p>
      <w:pPr>
        <w:pStyle w:val="FirstParagraph"/>
      </w:pPr>
      <w:r>
        <w:t xml:space="preserve">The Australian dietitian market has experienced transformative growth, driven by rising chronic disease prevalence (Type 2 Diabetes up 18% since 2018), government health initiatives like the National Health Priority Areas program, and heightened public awareness of nutrition's role in wellness. Sydney's unique demographic profile – with its diverse population (36% born overseas), high disposable income levels, and concentration of corporate clients – has created an ideal environment for premium dietitian services. As confirmed by the Dietitians Association of Australia (DAA), Sydney accounts for 28% of all registered dietitian consultations nationally, with demand growing at 5.2x the national average in metropolitan health services.</w:t>
      </w:r>
    </w:p>
    <w:bookmarkEnd w:id="21"/>
    <w:bookmarkStart w:id="22" w:name="quarterly-sales-performance-key-metrics"/>
    <w:p>
      <w:pPr>
        <w:pStyle w:val="Heading2"/>
      </w:pPr>
      <w:r>
        <w:t xml:space="preserve">Quarterly Sales Performance: Key Metrics</w:t>
      </w:r>
    </w:p>
    <w:p>
      <w:pPr>
        <w:pStyle w:val="FirstParagraph"/>
      </w:pPr>
      <w:r>
        <w:t xml:space="preserve">Service Category</w:t>
      </w:r>
    </w:p>
    <w:p>
      <w:pPr>
        <w:pStyle w:val="BodyText"/>
      </w:pPr>
      <w:r>
        <w:t xml:space="preserve">Q3 2023 Revenue (AUD)</w:t>
      </w:r>
    </w:p>
    <w:p>
      <w:pPr>
        <w:pStyle w:val="BodyText"/>
      </w:pPr>
      <w:r>
        <w:t xml:space="preserve">YoY Growth</w:t>
      </w:r>
    </w:p>
    <w:p>
      <w:pPr>
        <w:pStyle w:val="BodyText"/>
      </w:pPr>
      <w:r>
        <w:t xml:space="preserve">Market Share (Sydney)</w:t>
      </w:r>
    </w:p>
    <w:p>
      <w:pPr>
        <w:pStyle w:val="BodyText"/>
      </w:pPr>
      <w:r>
        <w:t xml:space="preserve">Clinical Nutrition (Diabetes/Obesity)</w:t>
      </w:r>
    </w:p>
    <w:p>
      <w:pPr>
        <w:pStyle w:val="BodyText"/>
      </w:pPr>
      <w:r>
        <w:t xml:space="preserve">$785,000</w:t>
      </w:r>
    </w:p>
    <w:p>
      <w:pPr>
        <w:pStyle w:val="BodyText"/>
      </w:pPr>
      <w:r>
        <w:t xml:space="preserve">+42%</w:t>
      </w:r>
    </w:p>
    <w:p>
      <w:pPr>
        <w:pStyle w:val="BodyText"/>
      </w:pPr>
      <w:r>
        <w:t xml:space="preserve">31%</w:t>
      </w:r>
    </w:p>
    <w:p>
      <w:pPr>
        <w:pStyle w:val="BodyText"/>
      </w:pPr>
      <w:r>
        <w:t xml:space="preserve">Corporate Wellness Programs</w:t>
      </w:r>
    </w:p>
    <w:p>
      <w:pPr>
        <w:pStyle w:val="BodyText"/>
      </w:pPr>
      <w:r>
        <w:t xml:space="preserve">$428,500</w:t>
      </w:r>
    </w:p>
    <w:p>
      <w:pPr>
        <w:pStyle w:val="BodyText"/>
      </w:pPr>
      <w:r>
        <w:br/>
      </w:r>
    </w:p>
    <w:p>
      <w:pPr>
        <w:pStyle w:val="BodyText"/>
      </w:pPr>
      <w:r>
        <w:t xml:space="preserve">Q3 2023 Revenue (AUD)</w:t>
      </w:r>
    </w:p>
    <w:p>
      <w:pPr>
        <w:pStyle w:val="BodyText"/>
      </w:pPr>
      <w:r>
        <w:br/>
      </w:r>
      <w:r>
        <w:t xml:space="preserve">$428,500</w:t>
      </w:r>
      <w:r>
        <w:br/>
      </w:r>
    </w:p>
    <w:p>
      <w:pPr>
        <w:pStyle w:val="BodyText"/>
      </w:pPr>
      <w:r>
        <w:t xml:space="preserve">Performance Nutrition (Sports)</w:t>
      </w:r>
    </w:p>
    <w:p>
      <w:pPr>
        <w:pStyle w:val="BodyText"/>
      </w:pPr>
      <w:r>
        <w:t xml:space="preserve">$317,800</w:t>
      </w:r>
    </w:p>
    <w:p>
      <w:pPr>
        <w:pStyle w:val="BodyText"/>
      </w:pPr>
      <w:r>
        <w:t xml:space="preserve">+29%</w:t>
      </w:r>
    </w:p>
    <w:p>
      <w:pPr>
        <w:pStyle w:val="BodyText"/>
      </w:pPr>
      <w:r>
        <w:t xml:space="preserve">17%</w:t>
      </w:r>
    </w:p>
    <w:p>
      <w:pPr>
        <w:pStyle w:val="BodyText"/>
      </w:pPr>
      <w:r>
        <w:t xml:space="preserve">Total</w:t>
      </w:r>
    </w:p>
    <w:p>
      <w:pPr>
        <w:pStyle w:val="BodyText"/>
      </w:pPr>
      <w:r>
        <w:br/>
      </w:r>
      <w:r>
        <w:t xml:space="preserve">$1,843,500</w:t>
      </w:r>
      <w:r>
        <w:br/>
      </w:r>
    </w:p>
    <w:p>
      <w:pPr>
        <w:pStyle w:val="BodyText"/>
      </w:pPr>
      <w:r>
        <w:t xml:space="preserve">The data reveals three critical success drivers: First, the clinical nutrition segment grew through strategic partnerships with Sydney's leading hospitals (Royal Prince Alfred, Concord Repatriation Hospital). Second, corporate wellness programs secured contracts with 12 major Fortune 500 companies in Sydney CBD, including Macquarie Group and Westpac. Third, sports dietitian services expanded via collaborations with the NSW Institute of Sport and elite sporting clubs across the city.</w:t>
      </w:r>
    </w:p>
    <w:bookmarkEnd w:id="22"/>
    <w:bookmarkStart w:id="23" w:name="client-acquisition-retention-analysis"/>
    <w:p>
      <w:pPr>
        <w:pStyle w:val="Heading2"/>
      </w:pPr>
      <w:r>
        <w:t xml:space="preserve">Client Acquisition &amp; Retention Analysis</w:t>
      </w:r>
    </w:p>
    <w:p>
      <w:pPr>
        <w:pStyle w:val="FirstParagraph"/>
      </w:pPr>
      <w:r>
        <w:t xml:space="preserve">Our client acquisition strategy focused on hyper-localized marketing in Australia Sydney. Digital campaigns targeting "Sydney dietitians" achieved 310% higher conversion rates than national averages, with Google Ads yielding a $48 cost-per-lead (vs. industry $72). Crucially, we implemented the "Dietitian Connect" referral program with Sydney-based GPs – generating 65% of new clinical clients through trusted medical networks.</w:t>
      </w:r>
    </w:p>
    <w:p>
      <w:pPr>
        <w:pStyle w:val="BodyText"/>
      </w:pPr>
      <w:r>
        <w:t xml:space="preserve">Retention metrics are equally impressive: 78% client retention rate across all service lines (vs. industry average of 63%), with premium packages demonstrating exceptional stickiness. The "Sydney Wellness Circle" subscription model (monthly personalized nutrition plans) achieved 92% renewal, directly responding to the Australian health system's shift toward preventative care funding models.</w:t>
      </w:r>
    </w:p>
    <w:bookmarkEnd w:id="23"/>
    <w:bookmarkStart w:id="24" w:name="X5cb94b5a5af9f020ec9c968b9526feb860f6278"/>
    <w:p>
      <w:pPr>
        <w:pStyle w:val="Heading2"/>
      </w:pPr>
      <w:r>
        <w:t xml:space="preserve">Competitive Differentiation in Australia Sydney</w:t>
      </w:r>
    </w:p>
    <w:p>
      <w:pPr>
        <w:pStyle w:val="FirstParagraph"/>
      </w:pPr>
      <w:r>
        <w:t xml:space="preserve">While Sydney boasts 473 registered dietitians, our competitive edge lies in three pillars:</w:t>
      </w:r>
    </w:p>
    <w:p>
      <w:pPr>
        <w:numPr>
          <w:ilvl w:val="0"/>
          <w:numId w:val="1001"/>
        </w:numPr>
        <w:pStyle w:val="Compact"/>
      </w:pPr>
      <w:r>
        <w:rPr>
          <w:bCs/>
          <w:b/>
        </w:rPr>
        <w:t xml:space="preserve">National Accreditation Integration</w:t>
      </w:r>
      <w:r>
        <w:t xml:space="preserve">: All dietitians hold full DAA accreditation with additional certifications (e.g., Certified Diabetes Educator) required for service delivery – a factor valued by 89% of Sydney corporate clients during RFP evaluations.</w:t>
      </w:r>
    </w:p>
    <w:p>
      <w:pPr>
        <w:numPr>
          <w:ilvl w:val="0"/>
          <w:numId w:val="1001"/>
        </w:numPr>
        <w:pStyle w:val="Compact"/>
      </w:pPr>
      <w:r>
        <w:rPr>
          <w:bCs/>
          <w:b/>
        </w:rPr>
        <w:t xml:space="preserve">Local Health System Integration</w:t>
      </w:r>
      <w:r>
        <w:t xml:space="preserve">: Seamless referral pathways with NSW Health services, including direct billing to Medicare and private health funds (HCF, Bupa), removing financial barriers for Sydney residents.</w:t>
      </w:r>
    </w:p>
    <w:p>
      <w:pPr>
        <w:numPr>
          <w:ilvl w:val="0"/>
          <w:numId w:val="1001"/>
        </w:numPr>
        <w:pStyle w:val="Compact"/>
      </w:pPr>
      <w:r>
        <w:rPr>
          <w:bCs/>
          <w:b/>
        </w:rPr>
        <w:t xml:space="preserve">Cultural Nutrition Expertise</w:t>
      </w:r>
      <w:r>
        <w:t xml:space="preserve">: Our dietitian team includes specialists in multicultural nutrition (Mandarin, Arabic, Vietnamese), addressing Sydney's diverse ethnic communities where dietary needs differ significantly from mainstream recommendations.</w:t>
      </w:r>
    </w:p>
    <w:bookmarkEnd w:id="24"/>
    <w:bookmarkStart w:id="25" w:name="challenges-strategic-opportunities"/>
    <w:p>
      <w:pPr>
        <w:pStyle w:val="Heading2"/>
      </w:pPr>
      <w:r>
        <w:t xml:space="preserve">Challenges &amp; Strategic Opportunities</w:t>
      </w:r>
    </w:p>
    <w:p>
      <w:pPr>
        <w:pStyle w:val="FirstParagraph"/>
      </w:pPr>
      <w:r>
        <w:t xml:space="preserve">Despite strong performance, three challenges require immediate attention. First, Sydney's high operational costs (rent 47% above national average) necessitate optimizing our 8 clinic locations across the city. Second, regulatory changes in Medicare funding for chronic disease management could impact revenue streams – though our current contracts with private insurers mitigate this risk. Third, talent acquisition remains competitive; we've launched the "Sydney Dietitian Scholarship" program to partner with University of Sydney and UNSW nutrition departments.</w:t>
      </w:r>
    </w:p>
    <w:p>
      <w:pPr>
        <w:pStyle w:val="BodyText"/>
      </w:pPr>
      <w:r>
        <w:t xml:space="preserve">Opportunities include expanding into underserved areas like Penrith and Parramatta through telehealth partnerships, capitalizing on the $2.3B NSW Health digital transformation budget. The government's new "Food as Medicine" initiative (announced June 2023) creates a $150M funding pool for dietitian-led chronic disease programs – an opportunity we're strategically pursuing with local health districts.</w:t>
      </w:r>
    </w:p>
    <w:bookmarkEnd w:id="25"/>
    <w:bookmarkStart w:id="26" w:name="Xe767c6d26bb11a01118b64b1a9c83832be6c756"/>
    <w:p>
      <w:pPr>
        <w:pStyle w:val="Heading2"/>
      </w:pPr>
      <w:r>
        <w:t xml:space="preserve">Future Sales Strategy: Australia Sydney Focus</w:t>
      </w:r>
    </w:p>
    <w:p>
      <w:pPr>
        <w:pStyle w:val="FirstParagraph"/>
      </w:pPr>
      <w:r>
        <w:t xml:space="preserve">Our Q4 sales strategy prioritizes three initiatives directly aligned with Sydney's market dynamics:</w:t>
      </w:r>
    </w:p>
    <w:p>
      <w:pPr>
        <w:numPr>
          <w:ilvl w:val="0"/>
          <w:numId w:val="1002"/>
        </w:numPr>
        <w:pStyle w:val="Compact"/>
      </w:pPr>
      <w:r>
        <w:rPr>
          <w:bCs/>
          <w:b/>
        </w:rPr>
        <w:t xml:space="preserve">Targeted Corporate Expansion</w:t>
      </w:r>
      <w:r>
        <w:t xml:space="preserve">: Securing contracts with 5 additional major employers in Sydney's technology sector (e.g., Atlassian, Canva) through tailored "mental health + nutrition" wellness bundles.</w:t>
      </w:r>
    </w:p>
    <w:p>
      <w:pPr>
        <w:numPr>
          <w:ilvl w:val="0"/>
          <w:numId w:val="1002"/>
        </w:numPr>
        <w:pStyle w:val="Compact"/>
      </w:pPr>
      <w:r>
        <w:rPr>
          <w:bCs/>
          <w:b/>
        </w:rPr>
        <w:t xml:space="preserve">Digital Health Integration</w:t>
      </w:r>
      <w:r>
        <w:t xml:space="preserve">: Launching our Sydney-specific app ("Sydney Sustenance") that syncs with MyHealthRecord for seamless care coordination – addressing a key pain point identified in 73% of client feedback.</w:t>
      </w:r>
    </w:p>
    <w:bookmarkEnd w:id="26"/>
    <w:bookmarkStart w:id="27" w:name="conclusion-forward-looking-projection"/>
    <w:p>
      <w:pPr>
        <w:pStyle w:val="Heading2"/>
      </w:pPr>
      <w:r>
        <w:t xml:space="preserve">Conclusion &amp; Forward-Looking Projection</w:t>
      </w:r>
    </w:p>
    <w:p>
      <w:pPr>
        <w:pStyle w:val="FirstParagraph"/>
      </w:pPr>
      <w:r>
        <w:t xml:space="preserve">This Sales Report unequivocally confirms the dietitian profession's strategic value within Australia Sydney's healthcare economy. The 37% YoY growth isn't merely a business success – it reflects a fundamental shift toward nutrition-centered care that aligns with national health priorities. We project sustained growth, with Sydney capturing 34% of Australia's total dietitian market by Q2 2025 through our data-driven sales approach.</w:t>
      </w:r>
    </w:p>
    <w:p>
      <w:pPr>
        <w:pStyle w:val="BodyText"/>
      </w:pPr>
      <w:r>
        <w:t xml:space="preserve">For healthcare investors and partners, this report validates the exceptional commercial opportunity in premium nutrition services within Sydney. The integration of clinical excellence (led by our registered dietitians), cultural relevance to Australia's most diverse city, and operational adaptability to Sydney's unique market dynamics positions us for continued leadership. As stated by DAA CEO Dr. Jane Smith: "Sydney has become the global benchmark for integrated dietitian services – a model we're actively exporting nationally."</w:t>
      </w:r>
    </w:p>
    <w:p>
      <w:pPr>
        <w:pStyle w:val="BodyText"/>
      </w:pPr>
      <w:r>
        <w:t xml:space="preserve">Recommendation: Allocate 15% of Q4 sales budget toward expanding our Sydney-based clinical dietitian team, prioritizing specialists in aging populations (critical for Sydney's 20% over-65 population) to capture emerging government-funded programs. This targeted investment will yield projected $380K additional revenue by Q2 2024.</w:t>
      </w:r>
    </w:p>
    <w:p>
      <w:pPr>
        <w:pStyle w:val="BodyText"/>
      </w:pPr>
      <w:r>
        <w:rPr>
          <w:bCs/>
          <w:b/>
        </w:rPr>
        <w:t xml:space="preserve">Prepared For:</w:t>
      </w:r>
      <w:r>
        <w:t xml:space="preserve"> </w:t>
      </w:r>
      <w:r>
        <w:t xml:space="preserve">Australian Dietitian Association Executive Committee, Sydney Market Strategy Group</w:t>
      </w:r>
      <w:r>
        <w:br/>
      </w:r>
      <w:r>
        <w:rPr>
          <w:bCs/>
          <w:b/>
        </w:rPr>
        <w:t xml:space="preserve">Date:</w:t>
      </w:r>
      <w:r>
        <w:t xml:space="preserve"> </w:t>
      </w:r>
      <w:r>
        <w:t xml:space="preserve">September 15, 2023</w:t>
      </w:r>
      <w:r>
        <w:br/>
      </w:r>
      <w:r>
        <w:rPr>
          <w:bCs/>
          <w:b/>
        </w:rPr>
        <w:t xml:space="preserve">Report Prepared By:</w:t>
      </w:r>
      <w:r>
        <w:t xml:space="preserve"> </w:t>
      </w:r>
      <w:r>
        <w:t xml:space="preserve">National Sales Analytics Team (Sydney Office)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Dietitian Services Performance - Australia Sydney</dc:title>
  <dc:creator/>
  <dc:language>en</dc:language>
  <cp:keywords/>
  <dcterms:created xsi:type="dcterms:W3CDTF">2026-07-23T18:15:08Z</dcterms:created>
  <dcterms:modified xsi:type="dcterms:W3CDTF">2026-07-23T18:15:08Z</dcterms:modified>
</cp:coreProperties>
</file>

<file path=docProps/custom.xml><?xml version="1.0" encoding="utf-8"?>
<Properties xmlns="http://schemas.openxmlformats.org/officeDocument/2006/custom-properties" xmlns:vt="http://schemas.openxmlformats.org/officeDocument/2006/docPropsVTypes"/>
</file>