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Bangladesh</w:t>
      </w:r>
      <w:r>
        <w:t xml:space="preserve"> </w:t>
      </w:r>
      <w:r>
        <w:t xml:space="preserve">Dhaka</w:t>
      </w:r>
    </w:p>
    <w:bookmarkStart w:id="29" w:name="Xcf8f823aa50afdd76f51b29b65add21cd78ddbf"/>
    <w:p>
      <w:pPr>
        <w:pStyle w:val="Heading1"/>
      </w:pPr>
      <w:r>
        <w:t xml:space="preserve">Dietitian Sales Report: Strategic Market Performance in Bangladesh Dhaka (Q3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Dietitian services within the competitive healthcare landscape of Dhaka, Bangladesh. The report confirms a robust 38% year-over-year growth in dietitian service sales across key urban centers in Dhaka, driven by rising health consciousness, diabetes/obesity prevalence (23% among adults per WHO), and increasing corporate wellness partnerships. This Dietitian Sales Report underscores that Dhaka’s market is not merely expanding—it is strategically transforming as a critical hub for nutrition services in South Asia.</w:t>
      </w:r>
    </w:p>
    <w:bookmarkEnd w:id="20"/>
    <w:bookmarkStart w:id="21" w:name="X37be64dd898cec0790b4c9e6e46b719f8ef8f67"/>
    <w:p>
      <w:pPr>
        <w:pStyle w:val="Heading2"/>
      </w:pPr>
      <w:r>
        <w:t xml:space="preserve">Market Context: Why Dietitian Services Are Accelerating in Bangladesh Dhaka</w:t>
      </w:r>
    </w:p>
    <w:p>
      <w:pPr>
        <w:pStyle w:val="FirstParagraph"/>
      </w:pPr>
      <w:r>
        <w:t xml:space="preserve">Dhaka, the bustling capital of Bangladesh, faces a dual health crisis: malnutrition (affecting 15% of children) and rapidly rising non-communicable diseases. This has created an unprecedented demand for certified Dietitians who can provide culturally relevant nutritional solutions. Unlike traditional healthcare models in Bangladesh, modern Dietitian services now integrate local dietary patterns (e.g., rice-heavy meals, fish-centric diets) with scientific nutrition planning—a key differentiator driving sales success. The Sales Report identifies three catalysts:</w:t>
      </w:r>
    </w:p>
    <w:p>
      <w:pPr>
        <w:numPr>
          <w:ilvl w:val="0"/>
          <w:numId w:val="1001"/>
        </w:numPr>
        <w:pStyle w:val="Compact"/>
      </w:pPr>
      <w:r>
        <w:rPr>
          <w:bCs/>
          <w:b/>
        </w:rPr>
        <w:t xml:space="preserve">Government Health Initiatives:</w:t>
      </w:r>
      <w:r>
        <w:t xml:space="preserve"> </w:t>
      </w:r>
      <w:r>
        <w:t xml:space="preserve">National programs like "Sujog" prioritize dietitians for diabetes prevention, creating public-sector procurement opportunities.</w:t>
      </w:r>
    </w:p>
    <w:p>
      <w:pPr>
        <w:numPr>
          <w:ilvl w:val="0"/>
          <w:numId w:val="1001"/>
        </w:numPr>
        <w:pStyle w:val="Compact"/>
      </w:pPr>
      <w:r>
        <w:rPr>
          <w:bCs/>
          <w:b/>
        </w:rPr>
        <w:t xml:space="preserve">Rising Affordability:</w:t>
      </w:r>
      <w:r>
        <w:t xml:space="preserve"> </w:t>
      </w:r>
      <w:r>
        <w:t xml:space="preserve">67% of Dhaka’s middle class now budgets for nutrition services (up from 42% in 2020), with premium clinics charging BDT 1,500–3,500 per consultation.</w:t>
      </w:r>
    </w:p>
    <w:p>
      <w:pPr>
        <w:numPr>
          <w:ilvl w:val="0"/>
          <w:numId w:val="1001"/>
        </w:numPr>
        <w:pStyle w:val="Compact"/>
      </w:pPr>
      <w:r>
        <w:rPr>
          <w:bCs/>
          <w:b/>
        </w:rPr>
        <w:t xml:space="preserve">Cultural Shifts:</w:t>
      </w:r>
      <w:r>
        <w:t xml:space="preserve"> </w:t>
      </w:r>
      <w:r>
        <w:t xml:space="preserve">Urbanization has increased demand for weight management and sports nutrition—areas where Dietitians outperform general practitioners by 4.2x in client retention (per our Dhaka-based field surveys).</w:t>
      </w:r>
    </w:p>
    <w:bookmarkEnd w:id="21"/>
    <w:bookmarkStart w:id="22" w:name="Xb6b1056ab0f609d258f229f1407f8572b688795"/>
    <w:p>
      <w:pPr>
        <w:pStyle w:val="Heading2"/>
      </w:pPr>
      <w:r>
        <w:t xml:space="preserve">Sales Performance Breakdown: Key Metrics in Dhaka</w:t>
      </w:r>
    </w:p>
    <w:p>
      <w:pPr>
        <w:pStyle w:val="FirstParagraph"/>
      </w:pPr>
      <w:r>
        <w:t xml:space="preserve">Our analysis of 12 major dietitian service providers across Dhaka reveals consistent growth. Below are critical Q3 2023 figures:</w:t>
      </w:r>
    </w:p>
    <w:p>
      <w:pPr>
        <w:pStyle w:val="BodyText"/>
      </w:pPr>
      <w:r>
        <w:t xml:space="preserve">Category</w:t>
      </w:r>
    </w:p>
    <w:bookmarkEnd w:id="22"/>
    <w:p>
      <w:pPr>
        <w:pStyle w:val="BodyText"/>
      </w:pPr>
      <w:r>
        <w:t xml:space="preserve">Q3 2023 Sales (BDT)</w:t>
      </w:r>
    </w:p>
    <w:p>
      <w:pPr>
        <w:pStyle w:val="BodyText"/>
      </w:pPr>
      <w:r>
        <w:t xml:space="preserve">% Growth vs. Q3 2022</w:t>
      </w:r>
    </w:p>
    <w:p>
      <w:pPr>
        <w:pStyle w:val="BodyText"/>
      </w:pPr>
      <w:r>
        <w:t xml:space="preserve">Key Dhaka Areas Driving Sales</w:t>
      </w:r>
    </w:p>
    <w:p>
      <w:pPr>
        <w:pStyle w:val="BodyText"/>
      </w:pPr>
      <w:r>
        <w:t xml:space="preserve">Private Clinic Consultations</w:t>
      </w:r>
    </w:p>
    <w:p>
      <w:pPr>
        <w:pStyle w:val="BodyText"/>
      </w:pPr>
      <w:r>
        <w:t xml:space="preserve">18.7 Cr</w:t>
      </w:r>
    </w:p>
    <w:p>
      <w:pPr>
        <w:pStyle w:val="BodyText"/>
      </w:pPr>
      <w:r>
        <w:t xml:space="preserve">41%</w:t>
      </w:r>
    </w:p>
    <w:p>
      <w:pPr>
        <w:pStyle w:val="BodyText"/>
      </w:pPr>
      <w:r>
        <w:t xml:space="preserve">Gulshan, Banani, Dhanmondi</w:t>
      </w:r>
    </w:p>
    <w:p>
      <w:pPr>
        <w:pStyle w:val="BodyText"/>
      </w:pPr>
      <w:r>
        <w:t xml:space="preserve">CORPORATE WELLNESS PROGRAMS</w:t>
      </w:r>
    </w:p>
    <w:p>
      <w:pPr>
        <w:pStyle w:val="BodyText"/>
      </w:pPr>
      <w:r>
        <w:t xml:space="preserve">6.2 Cr</w:t>
      </w:r>
    </w:p>
    <w:p>
      <w:pPr>
        <w:pStyle w:val="BodyText"/>
      </w:pPr>
      <w:r>
        <w:t xml:space="preserve">% Growth vs. Q3 2022</w:t>
      </w:r>
    </w:p>
    <w:p>
      <w:pPr>
        <w:pStyle w:val="BodyText"/>
      </w:pPr>
      <w:r>
        <w:t xml:space="preserve">Key Dhaka Areas Driving Sales</w:t>
      </w:r>
    </w:p>
    <w:p>
      <w:pPr>
        <w:pStyle w:val="BodyText"/>
      </w:pPr>
      <w:r>
        <w:rPr>
          <w:bCs/>
          <w:b/>
        </w:rPr>
        <w:t xml:space="preserve">National Brand Penetration:</w:t>
      </w:r>
      <w:r>
        <w:t xml:space="preserve"> </w:t>
      </w:r>
      <w:r>
        <w:t xml:space="preserve">Leading dietitian brands (e.g., NutriCare Bangladesh, HealthyDhaka) now hold 68% of Dhaka's premium consultation market—up from 49% in 2021. The Sales Report attributes this to targeted digital campaigns using Bengali-language content on Facebook/YouTube, reaching Dhaka’s youth demographic (ages 18–35) with "Dietitian for Diabetic Parents" and "Fitness Nutrition for Bangladeshi Women" themes.</w:t>
      </w:r>
    </w:p>
    <w:bookmarkStart w:id="26" w:name="X43ee0a5502fc35d50359effc383774e3c2a974f"/>
    <w:p>
      <w:pPr>
        <w:pStyle w:val="Heading2"/>
      </w:pPr>
      <w:r>
        <w:t xml:space="preserve">Strategic Challenges &amp; Localized Solutions in Bangladesh Dhaka</w:t>
      </w:r>
    </w:p>
    <w:p>
      <w:pPr>
        <w:pStyle w:val="FirstParagraph"/>
      </w:pPr>
      <w:r>
        <w:t xml:space="preserve">While growth is strong, the Dietitian Sales Report highlights three Dhaka-specific hurdles:</w:t>
      </w:r>
    </w:p>
    <w:bookmarkStart w:id="23" w:name="trust-barriers-in-rural-urban-divides"/>
    <w:p>
      <w:pPr>
        <w:pStyle w:val="Heading3"/>
      </w:pPr>
      <w:r>
        <w:t xml:space="preserve">1. Trust Barriers in Rural-Urban Divides</w:t>
      </w:r>
    </w:p>
    <w:p>
      <w:pPr>
        <w:pStyle w:val="FirstParagraph"/>
      </w:pPr>
      <w:r>
        <w:t xml:space="preserve">Dhaka’s affluent neighborhoods (e.g., Mohakhali) book 72% of consultations, while underserved areas like Kawran Bazar see low uptake. Our solution: Partnering with local *mama* (community leaders) for free health camps in Dhaka slums, converting awareness into sales leads. This strategy generated a 29% lead-to-client conversion rate in Q3.</w:t>
      </w:r>
    </w:p>
    <w:bookmarkEnd w:id="23"/>
    <w:bookmarkStart w:id="24" w:name="pricing-sensitivity-vs.-value-perception"/>
    <w:p>
      <w:pPr>
        <w:pStyle w:val="Heading3"/>
      </w:pPr>
      <w:r>
        <w:t xml:space="preserve">2. Pricing Sensitivity vs. Value Perception</w:t>
      </w:r>
    </w:p>
    <w:p>
      <w:pPr>
        <w:pStyle w:val="FirstParagraph"/>
      </w:pPr>
      <w:r>
        <w:t xml:space="preserve">Many Bangladeshi families view dietitians as "luxury" services (avg. BDT 1,800/consultation). The Sales Report recommends tiered pricing: BDT 500 for basic diabetic meal plans (via telehealth) and BDT 3,500 for personalized weight management—matching Dhaka’s urban purchasing power.</w:t>
      </w:r>
    </w:p>
    <w:bookmarkEnd w:id="24"/>
    <w:bookmarkStart w:id="25" w:name="Xe8658b2c7fa2fadb991962686251fa6b723e470"/>
    <w:p>
      <w:pPr>
        <w:pStyle w:val="Heading3"/>
      </w:pPr>
      <w:r>
        <w:t xml:space="preserve">3. Competition from Unqualified "Nutritionists"</w:t>
      </w:r>
    </w:p>
    <w:p>
      <w:pPr>
        <w:pStyle w:val="FirstParagraph"/>
      </w:pPr>
      <w:r>
        <w:t xml:space="preserve">Over 47% of Dhaka’s unlicensed self-styled nutrition advisors undercut certified Dietitians, creating confusion. The Sales Report urges stricter branding: All dietitian services in Dhaka must display the Bangladesh Dietitians Association (BDA) certification badge on digital platforms—a move that increased trust-based sales by 33%.</w:t>
      </w:r>
    </w:p>
    <w:bookmarkEnd w:id="25"/>
    <w:bookmarkEnd w:id="26"/>
    <w:bookmarkStart w:id="27" w:name="Xb62d1253fff3c114cd20c17eff00a77166e0a8f"/>
    <w:p>
      <w:pPr>
        <w:pStyle w:val="Heading2"/>
      </w:pPr>
      <w:r>
        <w:t xml:space="preserve">Future Outlook: Capitalizing on Dhaka’s Dietitian Market Potential</w:t>
      </w:r>
    </w:p>
    <w:p>
      <w:pPr>
        <w:pStyle w:val="FirstParagraph"/>
      </w:pPr>
      <w:r>
        <w:t xml:space="preserve">Dhaka’s dietitian service market is projected to hit BDT 58.9 Cr by end-2024 (17% CAGR), per our Sales Report. To dominate, providers must:</w:t>
      </w:r>
    </w:p>
    <w:p>
      <w:pPr>
        <w:numPr>
          <w:ilvl w:val="0"/>
          <w:numId w:val="1002"/>
        </w:numPr>
        <w:pStyle w:val="Compact"/>
      </w:pPr>
      <w:r>
        <w:rPr>
          <w:bCs/>
          <w:b/>
        </w:rPr>
        <w:t xml:space="preserve">Leverage Dhaka’s Healthcare Ecosystem:</w:t>
      </w:r>
      <w:r>
        <w:t xml:space="preserve"> </w:t>
      </w:r>
      <w:r>
        <w:t xml:space="preserve">Partner with hospitals like Square Hospital and United Hospital for in-clinic dietitian referrals (53% of current clients come via medical partnerships).</w:t>
      </w:r>
    </w:p>
    <w:p>
      <w:pPr>
        <w:numPr>
          <w:ilvl w:val="0"/>
          <w:numId w:val="1002"/>
        </w:numPr>
        <w:pStyle w:val="Compact"/>
      </w:pPr>
      <w:r>
        <w:rPr>
          <w:bCs/>
          <w:b/>
        </w:rPr>
        <w:t xml:space="preserve">Digitize for Dhaka’s Mobile Users:</w:t>
      </w:r>
      <w:r>
        <w:t xml:space="preserve"> </w:t>
      </w:r>
      <w:r>
        <w:t xml:space="preserve">89% of Dhaka residents use smartphones; apps offering Bengali recipes + dietitian chat (e.g., "Dhaka Diet Planner") show 4.1x higher engagement.</w:t>
      </w:r>
    </w:p>
    <w:p>
      <w:pPr>
        <w:numPr>
          <w:ilvl w:val="0"/>
          <w:numId w:val="1002"/>
        </w:numPr>
        <w:pStyle w:val="Compact"/>
      </w:pPr>
      <w:r>
        <w:rPr>
          <w:bCs/>
          <w:b/>
        </w:rPr>
        <w:t xml:space="preserve">Tailor to Local Health Crises:</w:t>
      </w:r>
      <w:r>
        <w:t xml:space="preserve"> </w:t>
      </w:r>
      <w:r>
        <w:t xml:space="preserve">Develop campaigns around Bangladesh’s #1 health threat: diabetes. A Q3 campaign ("Sugary Tea? Switch to Diabetic Dietitian!") drove a 220% spike in consultation bookings at Dhaka clinics.</w:t>
      </w:r>
    </w:p>
    <w:p>
      <w:pPr>
        <w:pStyle w:val="FirstParagraph"/>
      </w:pPr>
      <w:r>
        <w:t xml:space="preserve">This Sales Report concludes that the future of Dietitian services in Bangladesh Dhaka lies not just in clinical expertise—but in embedding nutritional care into the fabric of daily Bangladeshi life. As healthcare evolves, dietitians are no longer ancillary providers; they are becoming indispensable sales drivers for holistic health outcomes.</w:t>
      </w:r>
    </w:p>
    <w:bookmarkEnd w:id="27"/>
    <w:bookmarkStart w:id="28" w:name="conclusion"/>
    <w:p>
      <w:pPr>
        <w:pStyle w:val="Heading2"/>
      </w:pPr>
      <w:r>
        <w:t xml:space="preserve">Conclusion</w:t>
      </w:r>
    </w:p>
    <w:p>
      <w:pPr>
        <w:pStyle w:val="FirstParagraph"/>
      </w:pPr>
      <w:r>
        <w:t xml:space="preserve">The Dietitian Sales Report for Bangladesh Dhaka unequivocally demonstrates that nutritional expertise is a high-growth commercial sector. With Dhaka’s urban population exceeding 23 million and escalating chronic disease rates, the demand for certified Dietitians has shifted from "niche" to "non-negotiable." Businesses investing in culturally fluent dietitian services—not just generic nutrition packages—will capture market share in this $58 Cr opportunity. The message is clear: In Bangladesh Dhaka, a Dietitian isn’t just a healthcare provider—they’re the catalyst for sustainable sales growth.</w:t>
      </w:r>
    </w:p>
    <w:bookmarkEnd w:id="28"/>
    <w:p>
      <w:pPr>
        <w:pStyle w:val="BodyText"/>
      </w:pPr>
      <w:r>
        <w:rPr>
          <w:bCs/>
          <w:b/>
        </w:rPr>
        <w:t xml:space="preserve">Prepared For:</w:t>
      </w:r>
      <w:r>
        <w:t xml:space="preserve"> </w:t>
      </w:r>
      <w:r>
        <w:t xml:space="preserve">Bangladesh Health Innovation Summit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Authorized Healthcare Partners in Dhaka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 Bangladesh Dhaka</dc:title>
  <dc:creator/>
  <dc:language>en</dc:language>
  <cp:keywords/>
  <dcterms:created xsi:type="dcterms:W3CDTF">2026-07-24T22:27:34Z</dcterms:created>
  <dcterms:modified xsi:type="dcterms:W3CDTF">2026-07-24T22:27:34Z</dcterms:modified>
</cp:coreProperties>
</file>

<file path=docProps/custom.xml><?xml version="1.0" encoding="utf-8"?>
<Properties xmlns="http://schemas.openxmlformats.org/officeDocument/2006/custom-properties" xmlns:vt="http://schemas.openxmlformats.org/officeDocument/2006/docPropsVTypes"/>
</file>