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w:t>
      </w:r>
      <w:r>
        <w:t xml:space="preserve"> </w:t>
      </w:r>
      <w:r>
        <w:t xml:space="preserve">Performance</w:t>
      </w:r>
      <w:r>
        <w:t xml:space="preserve"> </w:t>
      </w:r>
      <w:r>
        <w:t xml:space="preserve">in</w:t>
      </w:r>
      <w:r>
        <w:t xml:space="preserve"> </w:t>
      </w:r>
      <w:r>
        <w:t xml:space="preserve">Chile</w:t>
      </w:r>
      <w:r>
        <w:t xml:space="preserve"> </w:t>
      </w:r>
      <w:r>
        <w:t xml:space="preserve">Santiago</w:t>
      </w:r>
    </w:p>
    <w:bookmarkStart w:id="27" w:name="Xe185cbecc85801050b7f99a43edf59e533c9ac2"/>
    <w:p>
      <w:pPr>
        <w:pStyle w:val="Heading1"/>
      </w:pPr>
      <w:r>
        <w:t xml:space="preserve">Sales Report: Dietitian Service Performance and Market Analysis in Chile Santiago (Q3 2023)</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our premium Dietitian services across Chile Santiago. As the capital city of Chile with over 7 million residents, Santiago represents a critical market for specialized nutrition solutions. The report confirms a 15.7% year-on-year growth in client acquisition, driven by rising health consciousness and government initiatives targeting obesity—now affecting 42% of Chilean adults (Ministry of Health, 2023). Our Dietitian team has successfully adapted to Santiago’s unique cultural food landscape while delivering measurable outcomes for clients across corporate, clinical, and wellness segments. This document serves as both a performance snapshot and strategic roadmap for scaling our Dietitian operations in Chile Santiago.</w:t>
      </w:r>
    </w:p>
    <w:bookmarkEnd w:id="20"/>
    <w:bookmarkStart w:id="21" w:name="Xa5ed4188d884b386953735347733129bbead525"/>
    <w:p>
      <w:pPr>
        <w:pStyle w:val="Heading2"/>
      </w:pPr>
      <w:r>
        <w:t xml:space="preserve">Market Analysis: Demand Drivers in Chile Santiago</w:t>
      </w:r>
    </w:p>
    <w:p>
      <w:pPr>
        <w:pStyle w:val="FirstParagraph"/>
      </w:pPr>
      <w:r>
        <w:t xml:space="preserve">Santiago’s urban population faces dual pressures: traditional high-calorie cuisine (e.g., empanadas, asado) coupled with sedentary lifestyles. The Chilean government’s "Plan Nacional de Alimentación Saludable" directly aligns with our Dietitian service model, creating a surge in demand. In Santiago alone, 68% of employers now offer nutrition programs—up from 45% in 2021 (Chilean Chamber of Commerce Survey). Key growth segments include:</w:t>
      </w:r>
    </w:p>
    <w:p>
      <w:pPr>
        <w:numPr>
          <w:ilvl w:val="0"/>
          <w:numId w:val="1001"/>
        </w:numPr>
        <w:pStyle w:val="Compact"/>
      </w:pPr>
      <w:r>
        <w:rPr>
          <w:bCs/>
          <w:b/>
        </w:rPr>
        <w:t xml:space="preserve">Corporate Wellness:</w:t>
      </w:r>
      <w:r>
        <w:t xml:space="preserve"> </w:t>
      </w:r>
      <w:r>
        <w:t xml:space="preserve">42% of Santiago-based enterprises partnered with our Dietitian team for employee health initiatives</w:t>
      </w:r>
    </w:p>
    <w:p>
      <w:pPr>
        <w:numPr>
          <w:ilvl w:val="0"/>
          <w:numId w:val="1001"/>
        </w:numPr>
        <w:pStyle w:val="Compact"/>
      </w:pPr>
      <w:r>
        <w:rPr>
          <w:bCs/>
          <w:b/>
        </w:rPr>
        <w:t xml:space="preserve">Post-Obesity Surgery Care:</w:t>
      </w:r>
      <w:r>
        <w:t xml:space="preserve"> </w:t>
      </w:r>
      <w:r>
        <w:t xml:space="preserve">A 30% increase in demand following new Chilean healthcare reforms</w:t>
      </w:r>
    </w:p>
    <w:p>
      <w:pPr>
        <w:numPr>
          <w:ilvl w:val="0"/>
          <w:numId w:val="1001"/>
        </w:numPr>
        <w:pStyle w:val="Compact"/>
      </w:pPr>
      <w:r>
        <w:rPr>
          <w:bCs/>
          <w:b/>
        </w:rPr>
        <w:t xml:space="preserve">Cultural Nutrition Adaptation:</w:t>
      </w:r>
      <w:r>
        <w:t xml:space="preserve"> </w:t>
      </w:r>
      <w:r>
        <w:t xml:space="preserve">Programs modifying traditional recipes (e.g., "lighter" humitas, quinoa-based dishes) now account for 65% of our meal plans</w:t>
      </w:r>
    </w:p>
    <w:bookmarkEnd w:id="21"/>
    <w:bookmarkStart w:id="22" w:name="sales-performance-q3-2023-highlights"/>
    <w:p>
      <w:pPr>
        <w:pStyle w:val="Heading2"/>
      </w:pPr>
      <w:r>
        <w:t xml:space="preserve">Sales Performance: Q3 2023 Highlights</w:t>
      </w:r>
    </w:p>
    <w:p>
      <w:pPr>
        <w:pStyle w:val="FirstParagraph"/>
      </w:pPr>
      <w:r>
        <w:t xml:space="preserve">The following table summarizes key metrics for our Dietitian service in Chile Santiago: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Clients</w:t>
            </w:r>
          </w:p>
        </w:tc>
        <w:tc>
          <w:tcPr/>
          <w:p>
            <w:pPr>
              <w:pStyle w:val="Compact"/>
              <w:jc w:val="left"/>
            </w:pPr>
            <w:r>
              <w:t xml:space="preserve">% YoY Growth</w:t>
            </w:r>
          </w:p>
        </w:tc>
        <w:tc>
          <w:tcPr/>
          <w:p>
            <w:pPr>
              <w:pStyle w:val="Compact"/>
              <w:jc w:val="left"/>
            </w:pPr>
            <w:r>
              <w:t xml:space="preserve">Average Revenue per Client (CLP)</w:t>
            </w:r>
          </w:p>
        </w:tc>
      </w:tr>
      <w:tr>
        <w:tc>
          <w:tcPr/>
          <w:p>
            <w:pPr>
              <w:pStyle w:val="Compact"/>
              <w:jc w:val="left"/>
            </w:pPr>
            <w:r>
              <w:t xml:space="preserve">Personalized Meal Planning</w:t>
            </w:r>
          </w:p>
        </w:tc>
        <w:tc>
          <w:tcPr/>
          <w:p>
            <w:pPr>
              <w:pStyle w:val="Compact"/>
              <w:jc w:val="left"/>
            </w:pPr>
            <w:r>
              <w:t xml:space="preserve">1,482</w:t>
            </w:r>
          </w:p>
        </w:tc>
        <w:tc>
          <w:tcPr/>
          <w:p>
            <w:pPr>
              <w:pStyle w:val="Compact"/>
              <w:jc w:val="left"/>
            </w:pPr>
            <w:r>
              <w:t xml:space="preserve">22.3%</w:t>
            </w:r>
          </w:p>
        </w:tc>
        <w:tc>
          <w:tcPr/>
          <w:p>
            <w:pPr>
              <w:pStyle w:val="Compact"/>
              <w:jc w:val="left"/>
            </w:pPr>
            <w:r>
              <w:t xml:space="preserve">187,500</w:t>
            </w:r>
          </w:p>
        </w:tc>
      </w:tr>
      <w:tr>
        <w:tc>
          <w:tcPr/>
          <w:p>
            <w:pPr>
              <w:pStyle w:val="Compact"/>
              <w:jc w:val="left"/>
            </w:pPr>
            <w:r>
              <w:t xml:space="preserve">Clinical Nutrition (Post-Op/Bariatric)</w:t>
            </w:r>
          </w:p>
        </w:tc>
        <w:tc>
          <w:tcPr/>
          <w:p>
            <w:pPr>
              <w:pStyle w:val="Compact"/>
              <w:jc w:val="left"/>
            </w:pPr>
            <w:r>
              <w:t xml:space="preserve">376</w:t>
            </w:r>
          </w:p>
        </w:tc>
        <w:tc>
          <w:tcPr/>
          <w:p>
            <w:pPr>
              <w:pStyle w:val="Compact"/>
              <w:jc w:val="left"/>
            </w:pPr>
            <w:r>
              <w:t xml:space="preserve">34.1%</w:t>
            </w:r>
          </w:p>
        </w:tc>
        <w:tc>
          <w:tcPr/>
          <w:p>
            <w:pPr>
              <w:pStyle w:val="Compact"/>
              <w:jc w:val="center"/>
            </w:pPr>
            <w:r>
              <w:t xml:space="preserve">221,800</w:t>
            </w:r>
          </w:p>
        </w:tc>
      </w:tr>
      <w:tr>
        <w:tc>
          <w:tcPr/>
          <w:p>
            <w:pPr>
              <w:pStyle w:val="Compact"/>
              <w:jc w:val="left"/>
            </w:pPr>
            <w:r>
              <w:t xml:space="preserve">Corporate Wellness Programs</w:t>
            </w:r>
          </w:p>
        </w:tc>
        <w:tc>
          <w:tcPr/>
          <w:p>
            <w:pPr>
              <w:pStyle w:val="Compact"/>
            </w:pPr>
          </w:p>
        </w:tc>
        <w:tc>
          <w:tcPr/>
          <w:p>
            <w:pPr>
              <w:pStyle w:val="Compact"/>
            </w:pPr>
          </w:p>
        </w:tc>
        <w:tc>
          <w:tcPr/>
          <w:p>
            <w:pPr>
              <w:pStyle w:val="Compact"/>
            </w:pPr>
          </w:p>
        </w:tc>
      </w:tr>
      <w:tr>
        <w:tc>
          <w:tcPr/>
          <w:p>
            <w:pPr>
              <w:pStyle w:val="Compact"/>
              <w:jc w:val="left"/>
            </w:pPr>
            <w:r>
              <w:t xml:space="preserve">Santiago Corporate Contracts (5+ employees)</w:t>
            </w:r>
          </w:p>
        </w:tc>
        <w:tc>
          <w:tcPr/>
          <w:p>
            <w:pPr>
              <w:pStyle w:val="Compact"/>
              <w:jc w:val="left"/>
            </w:pPr>
            <w:r>
              <w:t xml:space="preserve">28</w:t>
            </w:r>
          </w:p>
        </w:tc>
        <w:tc>
          <w:tcPr/>
          <w:p>
            <w:pPr>
              <w:pStyle w:val="Compact"/>
              <w:jc w:val="left"/>
            </w:pPr>
            <w:r>
              <w:t xml:space="preserve">39.7%</w:t>
            </w:r>
          </w:p>
        </w:tc>
        <w:tc>
          <w:tcPr/>
          <w:p>
            <w:pPr>
              <w:pStyle w:val="Compact"/>
              <w:jc w:val="left"/>
            </w:pPr>
            <w:r>
              <w:t xml:space="preserve">N/A (Project-based)</w:t>
            </w:r>
          </w:p>
        </w:tc>
      </w:tr>
    </w:tbl>
    <w:p>
      <w:pPr>
        <w:pStyle w:val="BodyText"/>
      </w:pPr>
      <w:r>
        <w:t xml:space="preserve">The 22.3% growth in personalized meal planning directly correlates with Santiago’s urbanization trend—residents increasingly seek time-efficient, culturally relevant nutrition support. Notably, corporate contracts grew by 39.7%, driven by Chile’s new Labor Code requiring wellness benefits for companies with &gt;50 employees (effective Jan 2023). Our Dietitian team achieved a 4.8/5 average client satisfaction score in Santiago, exceeding the industry benchmark of 4.1.</w:t>
      </w:r>
    </w:p>
    <w:bookmarkEnd w:id="22"/>
    <w:bookmarkStart w:id="23" w:name="strategic-initiatives-driving-success"/>
    <w:p>
      <w:pPr>
        <w:pStyle w:val="Heading2"/>
      </w:pPr>
      <w:r>
        <w:t xml:space="preserve">Strategic Initiatives Driving Success</w:t>
      </w:r>
    </w:p>
    <w:p>
      <w:pPr>
        <w:pStyle w:val="FirstParagraph"/>
      </w:pPr>
      <w:r>
        <w:t xml:space="preserve">Our Dietitian service’s success in Chile Santiago stems from three pillars:</w:t>
      </w:r>
    </w:p>
    <w:p>
      <w:pPr>
        <w:numPr>
          <w:ilvl w:val="0"/>
          <w:numId w:val="1002"/>
        </w:numPr>
        <w:pStyle w:val="Compact"/>
      </w:pPr>
      <w:r>
        <w:rPr>
          <w:bCs/>
          <w:b/>
        </w:rPr>
        <w:t xml:space="preserve">Cultural Integration:</w:t>
      </w:r>
      <w:r>
        <w:t xml:space="preserve"> </w:t>
      </w:r>
      <w:r>
        <w:t xml:space="preserve">Partnering with local chefs to develop "Chilean-Adapted" meal plans (e.g., replacing heavy butter in pastel de choclo with avocado oil) increased client retention by 27%. This approach resonated deeply in Santiago’s community kitchens and social media groups.</w:t>
      </w:r>
    </w:p>
    <w:p>
      <w:pPr>
        <w:numPr>
          <w:ilvl w:val="0"/>
          <w:numId w:val="1002"/>
        </w:numPr>
        <w:pStyle w:val="Compact"/>
      </w:pPr>
      <w:r>
        <w:rPr>
          <w:bCs/>
          <w:b/>
        </w:rPr>
        <w:t xml:space="preserve">Telehealth Expansion:</w:t>
      </w:r>
      <w:r>
        <w:t xml:space="preserve"> </w:t>
      </w:r>
      <w:r>
        <w:t xml:space="preserve">Launching a Spanish-language app for remote Dietitian consultations captured 35% of clients outside Santiago’s metro area—a critical advantage in Chile’s fragmented healthcare market.</w:t>
      </w:r>
    </w:p>
    <w:bookmarkEnd w:id="23"/>
    <w:bookmarkStart w:id="24" w:name="Xe318ecd43b2e050f1edfb6e0d0cccf9763a1070"/>
    <w:p>
      <w:pPr>
        <w:pStyle w:val="Heading2"/>
      </w:pPr>
      <w:r>
        <w:t xml:space="preserve">Challenges and Solutions in the Chile Santiago Market</w:t>
      </w:r>
    </w:p>
    <w:p>
      <w:pPr>
        <w:pStyle w:val="FirstParagraph"/>
      </w:pPr>
      <w:r>
        <w:t xml:space="preserve">Despite strong growth, our Dietitian service faced two key hurdles:</w:t>
      </w:r>
    </w:p>
    <w:p>
      <w:pPr>
        <w:numPr>
          <w:ilvl w:val="0"/>
          <w:numId w:val="1003"/>
        </w:numPr>
        <w:pStyle w:val="Compact"/>
      </w:pPr>
      <w:r>
        <w:rPr>
          <w:bCs/>
          <w:b/>
        </w:rPr>
        <w:t xml:space="preserve">Cultural Resistance to Dietary Change:</w:t>
      </w:r>
      <w:r>
        <w:t xml:space="preserve"> </w:t>
      </w:r>
      <w:r>
        <w:t xml:space="preserve">Initial pushback from clients regarding reducing traditional dishes. *Solution:* Our Santiago-based Dietitians now co-create meal plans with families during in-person sessions, preserving cultural identity while improving nutrition. This reduced drop-off rates by 41%.</w:t>
      </w:r>
    </w:p>
    <w:p>
      <w:pPr>
        <w:numPr>
          <w:ilvl w:val="0"/>
          <w:numId w:val="1003"/>
        </w:numPr>
        <w:pStyle w:val="Compact"/>
      </w:pPr>
      <w:r>
        <w:rPr>
          <w:bCs/>
          <w:b/>
        </w:rPr>
        <w:t xml:space="preserve">Competitive Pricing Pressure:</w:t>
      </w:r>
      <w:r>
        <w:t xml:space="preserve"> </w:t>
      </w:r>
      <w:r>
        <w:t xml:space="preserve">Local clinics offered cheaper services (CLP 80,000 vs. our CLP 187,500 average). *Solution:* Bundling Dietitian sessions with complementary services (e.g., fitness trainer access via partnership) increased perceived value and secured a 22% higher client lifetime value.</w:t>
      </w:r>
    </w:p>
    <w:bookmarkEnd w:id="24"/>
    <w:bookmarkStart w:id="25" w:name="X7bb5c34975253e99a0a37e629d411c510a6aae4"/>
    <w:p>
      <w:pPr>
        <w:pStyle w:val="Heading2"/>
      </w:pPr>
      <w:r>
        <w:t xml:space="preserve">Future Strategy for Chile Santiago Expansion</w:t>
      </w:r>
    </w:p>
    <w:p>
      <w:pPr>
        <w:pStyle w:val="FirstParagraph"/>
      </w:pPr>
      <w:r>
        <w:t xml:space="preserve">Based on Q3 insights, we recommend the following priorities for scaling Dietitian services across Chile Santiago:</w:t>
      </w:r>
    </w:p>
    <w:p>
      <w:pPr>
        <w:numPr>
          <w:ilvl w:val="0"/>
          <w:numId w:val="1004"/>
        </w:numPr>
        <w:pStyle w:val="Compact"/>
      </w:pPr>
      <w:r>
        <w:rPr>
          <w:bCs/>
          <w:b/>
        </w:rPr>
        <w:t xml:space="preserve">Target High-Growth Niches:</w:t>
      </w:r>
      <w:r>
        <w:t xml:space="preserve"> </w:t>
      </w:r>
      <w:r>
        <w:t xml:space="preserve">Prioritize corporate contracts with tourism and logistics firms (e.g., LATAM Airlines, Cencosud), where employee stress-related weight gain is a known operational risk.</w:t>
      </w:r>
    </w:p>
    <w:p>
      <w:pPr>
        <w:numPr>
          <w:ilvl w:val="0"/>
          <w:numId w:val="1004"/>
        </w:numPr>
        <w:pStyle w:val="Compact"/>
      </w:pPr>
      <w:r>
        <w:rPr>
          <w:bCs/>
          <w:b/>
        </w:rPr>
        <w:t xml:space="preserve">Mobile Outreach Units:</w:t>
      </w:r>
      <w:r>
        <w:t xml:space="preserve"> </w:t>
      </w:r>
      <w:r>
        <w:t xml:space="preserve">Deploying Dietitian vans to underserved Santiago neighborhoods (e.g., Pedro Aguirre Cerda) to offer free screenings—addressing Chile’s 32% rural-urban healthcare gap.</w:t>
      </w:r>
    </w:p>
    <w:bookmarkEnd w:id="25"/>
    <w:bookmarkStart w:id="26" w:name="conclusion"/>
    <w:p>
      <w:pPr>
        <w:pStyle w:val="Heading2"/>
      </w:pPr>
      <w:r>
        <w:t xml:space="preserve">Conclusion</w:t>
      </w:r>
    </w:p>
    <w:p>
      <w:pPr>
        <w:pStyle w:val="FirstParagraph"/>
      </w:pPr>
      <w:r>
        <w:t xml:space="preserve">This Sales Report confirms that our Dietitian service is not just meeting but shaping the evolving health landscape in Chile Santiago. The city’s unique blend of traditional culture and rapid urbanization creates a fertile ground for nutrition-focused solutions—particularly those respecting local culinary heritage while advancing health outcomes. With obesity rates projected to rise 12% by 2025 (World Bank), our strategic alignment with Chile’s national health goals positions us for sustained growth. We project a 25% revenue increase in Q4 2023, driven by corporate contract expansions and mobile outreach initiatives across Santiago. As the premier Dietitian provider in Chile Santiago, we are committed to delivering science-backed nutrition that honors our community’s identity—one meal plan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 Performance in Chile Santiago</dc:title>
  <dc:creator/>
  <dc:language>en</dc:language>
  <cp:keywords/>
  <dcterms:created xsi:type="dcterms:W3CDTF">2026-07-21T10:34:33Z</dcterms:created>
  <dcterms:modified xsi:type="dcterms:W3CDTF">2026-07-21T10:34:33Z</dcterms:modified>
</cp:coreProperties>
</file>

<file path=docProps/custom.xml><?xml version="1.0" encoding="utf-8"?>
<Properties xmlns="http://schemas.openxmlformats.org/officeDocument/2006/custom-properties" xmlns:vt="http://schemas.openxmlformats.org/officeDocument/2006/docPropsVTypes"/>
</file>