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Dietitian</w:t>
      </w:r>
      <w:r>
        <w:t xml:space="preserve"> </w:t>
      </w:r>
      <w:r>
        <w:t xml:space="preserve">Services</w:t>
      </w:r>
      <w:r>
        <w:t xml:space="preserve"> </w:t>
      </w:r>
      <w:r>
        <w:t xml:space="preserve">Sales</w:t>
      </w:r>
      <w:r>
        <w:t xml:space="preserve"> </w:t>
      </w:r>
      <w:r>
        <w:t xml:space="preserve">Report</w:t>
      </w:r>
    </w:p>
    <w:bookmarkStart w:id="20" w:name="beijing-dietitian-services-sales-report"/>
    <w:p>
      <w:pPr>
        <w:pStyle w:val="Heading1"/>
      </w:pPr>
      <w:r>
        <w:t xml:space="preserve">Beijing Dietitian Services Sales Report</w:t>
      </w:r>
    </w:p>
    <w:p>
      <w:pPr>
        <w:pStyle w:val="FirstParagraph"/>
      </w:pPr>
      <w:r>
        <w:t xml:space="preserve">Q3 2023 Performance &amp; Market Analysis | China Beijing</w:t>
      </w:r>
    </w:p>
    <w:bookmarkEnd w:id="20"/>
    <w:bookmarkStart w:id="21" w:name="executive-summary"/>
    <w:p>
      <w:pPr>
        <w:pStyle w:val="Heading2"/>
      </w:pPr>
      <w:r>
        <w:t xml:space="preserve">Executive Summary</w:t>
      </w:r>
    </w:p>
    <w:p>
      <w:pPr>
        <w:pStyle w:val="FirstParagraph"/>
      </w:pPr>
      <w:r>
        <w:t xml:space="preserve">This comprehensive Sales Report details the performance of our premium Dietitian service offerings across the Beijing market during Q3 2023. As one of China's most dynamic urban centers, Beijing represents a critical growth frontier for specialized nutrition services. The report confirms that our integrated dietitian solutions have achieved remarkable traction, with sales exceeding targets by 27% and establishing new benchmarks for health service adoption in China's capital city.</w:t>
      </w:r>
    </w:p>
    <w:p>
      <w:pPr>
        <w:pStyle w:val="BodyText"/>
      </w:pPr>
      <w:r>
        <w:rPr>
          <w:bCs/>
          <w:b/>
        </w:rPr>
        <w:t xml:space="preserve">Key Achievement:</w:t>
      </w:r>
      <w:r>
        <w:t xml:space="preserve"> </w:t>
      </w:r>
      <w:r>
        <w:t xml:space="preserve">Beijing dietitian service revenue reached ¥1.86 million RMB (approximately $258,000 USD) in Q3 2023 – a 41% year-over-year increase – demonstrating unprecedented market penetration in China's premier healthcare hub.</w:t>
      </w:r>
    </w:p>
    <w:bookmarkEnd w:id="21"/>
    <w:bookmarkStart w:id="23" w:name="Xa19860f434849ea66fa0bed986c8dc5a5434a68"/>
    <w:p>
      <w:pPr>
        <w:pStyle w:val="Heading2"/>
      </w:pPr>
      <w:r>
        <w:t xml:space="preserve">Market Context: Dietitian Services in Beijing, China</w:t>
      </w:r>
    </w:p>
    <w:p>
      <w:pPr>
        <w:pStyle w:val="FirstParagraph"/>
      </w:pPr>
      <w:r>
        <w:t xml:space="preserve">Beijing's rapidly evolving health landscape presents unparalleled opportunities for specialized dietitian services. With over 21 million residents and a growing middle class prioritizing preventive healthcare, the demand for evidence-based nutrition counseling has surged. The Chinese government's "Healthy China 2030" initiative has accelerated this trend, creating policy alignment that positions dietitians as essential healthcare providers in urban centers like Beijing. Our market research confirms that 68% of Beijing residents now actively seek professional dietary guidance – up from 42% in 2019.</w:t>
      </w:r>
    </w:p>
    <w:bookmarkStart w:id="22" w:name="beijing-specific-market-dynamics"/>
    <w:p>
      <w:pPr>
        <w:pStyle w:val="Heading3"/>
      </w:pPr>
      <w:r>
        <w:t xml:space="preserve">Beijing-Specific Market Dynamics</w:t>
      </w:r>
    </w:p>
    <w:p>
      <w:pPr>
        <w:numPr>
          <w:ilvl w:val="0"/>
          <w:numId w:val="1001"/>
        </w:numPr>
        <w:pStyle w:val="Compact"/>
      </w:pPr>
      <w:r>
        <w:rPr>
          <w:bCs/>
          <w:b/>
        </w:rPr>
        <w:t xml:space="preserve">Cultural Adaptation:</w:t>
      </w:r>
      <w:r>
        <w:t xml:space="preserve"> </w:t>
      </w:r>
      <w:r>
        <w:t xml:space="preserve">Our Beijing dietitian team developed localized meal plans incorporating regional ingredients (like Peking duck, soy-based dishes) while adhering to Western nutritional science – a key differentiator in China's market.</w:t>
      </w:r>
    </w:p>
    <w:p>
      <w:pPr>
        <w:numPr>
          <w:ilvl w:val="0"/>
          <w:numId w:val="1001"/>
        </w:numPr>
        <w:pStyle w:val="Compact"/>
      </w:pPr>
      <w:r>
        <w:rPr>
          <w:bCs/>
          <w:b/>
        </w:rPr>
        <w:t xml:space="preserve">Regulatory Alignment:</w:t>
      </w:r>
      <w:r>
        <w:t xml:space="preserve"> </w:t>
      </w:r>
      <w:r>
        <w:t xml:space="preserve">All dietitians hold certification from the Chinese Nutrition Society and comply with Beijing's new dietary service licensing requirements under Health Ministry Order 2022-15.</w:t>
      </w:r>
    </w:p>
    <w:p>
      <w:pPr>
        <w:numPr>
          <w:ilvl w:val="0"/>
          <w:numId w:val="1001"/>
        </w:numPr>
        <w:pStyle w:val="Compact"/>
      </w:pPr>
      <w:r>
        <w:rPr>
          <w:bCs/>
          <w:b/>
        </w:rPr>
        <w:t xml:space="preserve">Digital Integration:</w:t>
      </w:r>
      <w:r>
        <w:t xml:space="preserve"> </w:t>
      </w:r>
      <w:r>
        <w:t xml:space="preserve">Mobile platform adoption in Beijing reached 89% among our clients, with WeChat mini-programs enabling seamless appointment scheduling and nutrition tracking.</w:t>
      </w:r>
    </w:p>
    <w:bookmarkEnd w:id="22"/>
    <w:bookmarkEnd w:id="23"/>
    <w:bookmarkStart w:id="26" w:name="sales-performance-analysis"/>
    <w:p>
      <w:pPr>
        <w:pStyle w:val="Heading2"/>
      </w:pPr>
      <w:r>
        <w:t xml:space="preserve">Sales Performance Analysis</w:t>
      </w:r>
    </w:p>
    <w:bookmarkStart w:id="24" w:name="q3-2023-sales-breakdown-beijing-market"/>
    <w:p>
      <w:pPr>
        <w:pStyle w:val="Heading3"/>
      </w:pPr>
      <w:r>
        <w:t xml:space="preserve">Q3 2023 Sales Breakdown (Beijing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 RMB)</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Premium 1:1 Dietitian Consultations</w:t>
            </w:r>
          </w:p>
        </w:tc>
        <w:tc>
          <w:tcPr/>
          <w:p>
            <w:pPr>
              <w:pStyle w:val="Compact"/>
              <w:jc w:val="left"/>
            </w:pPr>
            <w:r>
              <w:t xml:space="preserve">982,000</w:t>
            </w:r>
          </w:p>
        </w:tc>
        <w:tc>
          <w:tcPr/>
          <w:p>
            <w:pPr>
              <w:pStyle w:val="Compact"/>
              <w:jc w:val="left"/>
            </w:pPr>
            <w:r>
              <w:t xml:space="preserve">52.8%</w:t>
            </w:r>
          </w:p>
        </w:tc>
        <w:tc>
          <w:tcPr/>
          <w:p>
            <w:pPr>
              <w:pStyle w:val="Compact"/>
              <w:jc w:val="left"/>
            </w:pPr>
            <w:r>
              <w:t xml:space="preserve">34%</w:t>
            </w:r>
          </w:p>
        </w:tc>
      </w:tr>
      <w:tr>
        <w:tc>
          <w:tcPr/>
          <w:p>
            <w:pPr>
              <w:pStyle w:val="Compact"/>
              <w:jc w:val="left"/>
            </w:pPr>
            <w:r>
              <w:t xml:space="preserve">Corporate Wellness Programs (Beijing Offices)</w:t>
            </w:r>
          </w:p>
        </w:tc>
        <w:tc>
          <w:tcPr/>
          <w:p>
            <w:pPr>
              <w:pStyle w:val="Compact"/>
              <w:jc w:val="left"/>
            </w:pPr>
            <w:r>
              <w:t xml:space="preserve">476,000</w:t>
            </w:r>
          </w:p>
        </w:tc>
        <w:tc>
          <w:tcPr/>
          <w:p>
            <w:pPr>
              <w:pStyle w:val="Compact"/>
              <w:jc w:val="left"/>
            </w:pPr>
            <w:r>
              <w:t xml:space="preserve">25.6%</w:t>
            </w:r>
          </w:p>
        </w:tc>
        <w:tc>
          <w:tcPr/>
          <w:p>
            <w:pPr>
              <w:pStyle w:val="Compact"/>
              <w:jc w:val="left"/>
            </w:pPr>
            <w:r>
              <w:t xml:space="preserve">61%</w:t>
            </w:r>
          </w:p>
        </w:tc>
      </w:tr>
      <w:tr>
        <w:tc>
          <w:tcPr/>
          <w:p>
            <w:pPr>
              <w:pStyle w:val="Compact"/>
              <w:jc w:val="left"/>
            </w:pPr>
            <w:r>
              <w:t xml:space="preserve">Digital Nutrition Apps &amp; Meal Plans</w:t>
            </w:r>
          </w:p>
        </w:tc>
        <w:tc>
          <w:tcPr/>
          <w:p>
            <w:pPr>
              <w:pStyle w:val="Compact"/>
              <w:jc w:val="left"/>
            </w:pPr>
            <w:r>
              <w:t xml:space="preserve">289,000</w:t>
            </w:r>
          </w:p>
        </w:tc>
        <w:tc>
          <w:tcPr/>
          <w:p>
            <w:pPr>
              <w:pStyle w:val="Compact"/>
              <w:jc w:val="left"/>
            </w:pPr>
            <w:r>
              <w:t xml:space="preserve">15.5%</w:t>
            </w:r>
          </w:p>
        </w:tc>
        <w:tc>
          <w:tcPr/>
          <w:p>
            <w:pPr>
              <w:pStyle w:val="Compact"/>
              <w:jc w:val="left"/>
            </w:pPr>
            <w:r>
              <w:t xml:space="preserve">73%</w:t>
            </w:r>
          </w:p>
        </w:tc>
      </w:tr>
      <w:tr>
        <w:tc>
          <w:tcPr/>
          <w:p>
            <w:pPr>
              <w:pStyle w:val="Compact"/>
              <w:jc w:val="left"/>
            </w:pPr>
            <w:r>
              <w:t xml:space="preserve">Clinical Nutrition for Chronic Conditions</w:t>
            </w:r>
          </w:p>
        </w:tc>
        <w:tc>
          <w:tcPr/>
          <w:p>
            <w:pPr>
              <w:pStyle w:val="Compact"/>
              <w:jc w:val="left"/>
            </w:pPr>
            <w:r>
              <w:t xml:space="preserve">113,000</w:t>
            </w:r>
          </w:p>
        </w:tc>
        <w:tc>
          <w:tcPr/>
          <w:p>
            <w:pPr>
              <w:pStyle w:val="Compact"/>
              <w:jc w:val="left"/>
            </w:pPr>
            <w:r>
              <w:t xml:space="preserve">6.1%</w:t>
            </w:r>
          </w:p>
        </w:tc>
        <w:tc>
          <w:tcPr/>
          <w:p>
            <w:pPr>
              <w:pStyle w:val="Compact"/>
              <w:jc w:val="left"/>
            </w:pPr>
            <w:r>
              <w:t xml:space="preserve">28%</w:t>
            </w:r>
          </w:p>
        </w:tc>
      </w:tr>
    </w:tbl>
    <w:bookmarkEnd w:id="24"/>
    <w:bookmarkStart w:id="25" w:name="sales-growth-drivers-in-beijing"/>
    <w:p>
      <w:pPr>
        <w:pStyle w:val="Heading3"/>
      </w:pPr>
      <w:r>
        <w:t xml:space="preserve">Sales Growth Drivers in Beijing</w:t>
      </w:r>
    </w:p>
    <w:p>
      <w:pPr>
        <w:numPr>
          <w:ilvl w:val="0"/>
          <w:numId w:val="1002"/>
        </w:numPr>
        <w:pStyle w:val="Compact"/>
      </w:pPr>
      <w:r>
        <w:rPr>
          <w:bCs/>
          <w:b/>
        </w:rPr>
        <w:t xml:space="preserve">Corporate Demand Surge:</w:t>
      </w:r>
      <w:r>
        <w:t xml:space="preserve"> </w:t>
      </w:r>
      <w:r>
        <w:t xml:space="preserve">47 new enterprise contracts signed with major Beijing companies (including tech firms and financial institutions), driven by employee wellness programs addressing rising diabetes and hypertension rates.</w:t>
      </w:r>
    </w:p>
    <w:p>
      <w:pPr>
        <w:numPr>
          <w:ilvl w:val="0"/>
          <w:numId w:val="1002"/>
        </w:numPr>
        <w:pStyle w:val="Compact"/>
      </w:pPr>
      <w:r>
        <w:rPr>
          <w:bCs/>
          <w:b/>
        </w:rPr>
        <w:t xml:space="preserve">Digital Expansion:</w:t>
      </w:r>
      <w:r>
        <w:t xml:space="preserve"> </w:t>
      </w:r>
      <w:r>
        <w:t xml:space="preserve">WeChat integration increased client retention by 33% – a critical metric in China's mobile-first market.</w:t>
      </w:r>
    </w:p>
    <w:p>
      <w:pPr>
        <w:numPr>
          <w:ilvl w:val="0"/>
          <w:numId w:val="1002"/>
        </w:numPr>
        <w:pStyle w:val="Compact"/>
      </w:pPr>
      <w:r>
        <w:rPr>
          <w:bCs/>
          <w:b/>
        </w:rPr>
        <w:t xml:space="preserve">Cultural Trust-Building:</w:t>
      </w:r>
      <w:r>
        <w:t xml:space="preserve"> </w:t>
      </w:r>
      <w:r>
        <w:t xml:space="preserve">Beijing dietitians' fluency in both Mandarin and English, combined with local cultural understanding, built unprecedented client trust compared to international competitors.</w:t>
      </w:r>
    </w:p>
    <w:bookmarkEnd w:id="25"/>
    <w:bookmarkEnd w:id="26"/>
    <w:bookmarkStart w:id="27" w:name="X8fcd027a3dac76c8a781696509cd52630345574"/>
    <w:p>
      <w:pPr>
        <w:pStyle w:val="Heading2"/>
      </w:pPr>
      <w:r>
        <w:t xml:space="preserve">Customer Demographics: Who's Buying Dietitian Services in Beijing?</w:t>
      </w:r>
    </w:p>
    <w:p>
      <w:pPr>
        <w:pStyle w:val="FirstParagraph"/>
      </w:pPr>
      <w:r>
        <w:t xml:space="preserve">Our sales data reveals distinct customer segments driving growth in China Beijing:</w:t>
      </w:r>
    </w:p>
    <w:p>
      <w:pPr>
        <w:pStyle w:val="BodyText"/>
      </w:pPr>
      <w:r>
        <w:rPr>
          <w:bCs/>
          <w:b/>
        </w:rPr>
        <w:t xml:space="preserve">Primary Segments:</w:t>
      </w:r>
      <w:r>
        <w:br/>
      </w:r>
      <w:r>
        <w:t xml:space="preserve">• Urban Professionals (35-45 years): 58% of clients – seeking weight management and stress-related nutrition solutions</w:t>
      </w:r>
      <w:r>
        <w:br/>
      </w:r>
      <w:r>
        <w:t xml:space="preserve">• Elderly Population with Chronic Conditions: 22% – driven by Beijing's aging demographic and government health initiatives</w:t>
      </w:r>
      <w:r>
        <w:br/>
      </w:r>
      <w:r>
        <w:t xml:space="preserve">• High-Net-Worth Individuals: 14% – demanding personalized luxury dietitian services (e.g., anti-aging, performance optimization)</w:t>
      </w:r>
      <w:r>
        <w:br/>
      </w:r>
      <w:r>
        <w:t xml:space="preserve">• Corporate Clients: 6% – representing the fastest-growing segment with 127 new enterprise contracts in Beijing</w:t>
      </w:r>
    </w:p>
    <w:bookmarkEnd w:id="27"/>
    <w:bookmarkStart w:id="29" w:name="challenges-strategic-responses"/>
    <w:p>
      <w:pPr>
        <w:pStyle w:val="Heading2"/>
      </w:pPr>
      <w:r>
        <w:t xml:space="preserve">Challenges &amp; Strategic Responses</w:t>
      </w:r>
    </w:p>
    <w:bookmarkStart w:id="28" w:name="key-challenges-in-china-beijing-market"/>
    <w:p>
      <w:pPr>
        <w:pStyle w:val="Heading3"/>
      </w:pPr>
      <w:r>
        <w:t xml:space="preserve">Key Challenges in China Beijing Market</w:t>
      </w:r>
    </w:p>
    <w:p>
      <w:pPr>
        <w:numPr>
          <w:ilvl w:val="0"/>
          <w:numId w:val="1003"/>
        </w:numPr>
        <w:pStyle w:val="Compact"/>
      </w:pPr>
      <w:r>
        <w:rPr>
          <w:bCs/>
          <w:b/>
        </w:rPr>
        <w:t xml:space="preserve">Cultural Misconceptions:</w:t>
      </w:r>
      <w:r>
        <w:t xml:space="preserve"> </w:t>
      </w:r>
      <w:r>
        <w:t xml:space="preserve">Initial client skepticism about "Western dietitians" – resolved through localizing content with Chinese dietary traditions.</w:t>
      </w:r>
    </w:p>
    <w:p>
      <w:pPr>
        <w:numPr>
          <w:ilvl w:val="0"/>
          <w:numId w:val="1003"/>
        </w:numPr>
        <w:pStyle w:val="Compact"/>
      </w:pPr>
      <w:r>
        <w:rPr>
          <w:bCs/>
          <w:b/>
        </w:rPr>
        <w:t xml:space="preserve">Regulatory Complexity:</w:t>
      </w:r>
      <w:r>
        <w:t xml:space="preserve"> </w:t>
      </w:r>
      <w:r>
        <w:t xml:space="preserve">Navigating Beijing's municipal health permits – addressed by partnering with China Nutrition Society for compliance.</w:t>
      </w:r>
    </w:p>
    <w:p>
      <w:pPr>
        <w:numPr>
          <w:ilvl w:val="0"/>
          <w:numId w:val="1003"/>
        </w:numPr>
        <w:pStyle w:val="Compact"/>
      </w:pPr>
      <w:r>
        <w:rPr>
          <w:bCs/>
          <w:b/>
        </w:rPr>
        <w:t xml:space="preserve">Digital Competition:</w:t>
      </w:r>
      <w:r>
        <w:t xml:space="preserve"> </w:t>
      </w:r>
      <w:r>
        <w:t xml:space="preserve">Low-cost apps offering basic nutrition advice – countered by positioning our dietitian services as premium, clinically validated solutions.</w:t>
      </w:r>
    </w:p>
    <w:bookmarkEnd w:id="28"/>
    <w:bookmarkEnd w:id="29"/>
    <w:bookmarkStart w:id="31" w:name="X00e53f3a0531caeac5e1c1ab33dece0e647fc6a"/>
    <w:p>
      <w:pPr>
        <w:pStyle w:val="Heading2"/>
      </w:pPr>
      <w:r>
        <w:t xml:space="preserve">Future Strategy: Scaling Dietitian Services in Beijing</w:t>
      </w:r>
    </w:p>
    <w:bookmarkStart w:id="30" w:name="q4-2023-beyond-initiatives"/>
    <w:p>
      <w:pPr>
        <w:pStyle w:val="Heading3"/>
      </w:pPr>
      <w:r>
        <w:t xml:space="preserve">Q4 2023 &amp; Beyond Initiatives</w:t>
      </w:r>
    </w:p>
    <w:p>
      <w:pPr>
        <w:numPr>
          <w:ilvl w:val="0"/>
          <w:numId w:val="1004"/>
        </w:numPr>
        <w:pStyle w:val="Compact"/>
      </w:pPr>
      <w:r>
        <w:rPr>
          <w:bCs/>
          <w:b/>
        </w:rPr>
        <w:t xml:space="preserve">Beijing-Specific Nutrition Hubs:</w:t>
      </w:r>
      <w:r>
        <w:t xml:space="preserve"> </w:t>
      </w:r>
      <w:r>
        <w:t xml:space="preserve">Opening two new physical consultation centers in central districts (Chaoyang and Haidian) to increase accessibility.</w:t>
      </w:r>
    </w:p>
    <w:p>
      <w:pPr>
        <w:numPr>
          <w:ilvl w:val="0"/>
          <w:numId w:val="1004"/>
        </w:numPr>
        <w:pStyle w:val="Compact"/>
      </w:pPr>
      <w:r>
        <w:rPr>
          <w:bCs/>
          <w:b/>
        </w:rPr>
        <w:t xml:space="preserve">Mandarin-Language Digital Platform:</w:t>
      </w:r>
      <w:r>
        <w:t xml:space="preserve"> </w:t>
      </w:r>
      <w:r>
        <w:t xml:space="preserve">Launching a dedicated WeChat mini-app for Beijing clients with features like local ingredient shopping guides and neighborhood dietitian matching.</w:t>
      </w:r>
    </w:p>
    <w:p>
      <w:pPr>
        <w:numPr>
          <w:ilvl w:val="0"/>
          <w:numId w:val="1004"/>
        </w:numPr>
        <w:pStyle w:val="Compact"/>
      </w:pPr>
      <w:r>
        <w:rPr>
          <w:bCs/>
          <w:b/>
        </w:rPr>
        <w:t xml:space="preserve">Government Partnership Program:</w:t>
      </w:r>
      <w:r>
        <w:t xml:space="preserve"> </w:t>
      </w:r>
      <w:r>
        <w:t xml:space="preserve">Collaborating with Beijing Municipal Health Bureau on public health initiatives targeting obesity – creating new sales channels.</w:t>
      </w:r>
    </w:p>
    <w:p>
      <w:pPr>
        <w:numPr>
          <w:ilvl w:val="0"/>
          <w:numId w:val="1004"/>
        </w:numPr>
        <w:pStyle w:val="Compact"/>
      </w:pPr>
      <w:r>
        <w:rPr>
          <w:bCs/>
          <w:b/>
        </w:rPr>
        <w:t xml:space="preserve">Clinical Validation Study:</w:t>
      </w:r>
      <w:r>
        <w:t xml:space="preserve"> </w:t>
      </w:r>
      <w:r>
        <w:t xml:space="preserve">Partnering with Peking University Health Science Center to publish Beijing-specific nutrition research, enhancing credibility.</w:t>
      </w:r>
    </w:p>
    <w:bookmarkEnd w:id="30"/>
    <w:bookmarkEnd w:id="31"/>
    <w:bookmarkStart w:id="32" w:name="X649953f3b2341970c615a8c9f986ebd2c62dc20"/>
    <w:p>
      <w:pPr>
        <w:pStyle w:val="Heading2"/>
      </w:pPr>
      <w:r>
        <w:t xml:space="preserve">Conclusion: The Dietitian Future in China's Capital</w:t>
      </w:r>
    </w:p>
    <w:p>
      <w:pPr>
        <w:pStyle w:val="FirstParagraph"/>
      </w:pPr>
      <w:r>
        <w:t xml:space="preserve">The Beijing market has unequivocally validated our Dietitian service model as a high-growth opportunity within China's healthcare ecosystem. Our Q3 2023 performance demonstrates that when dietitian services are culturally attuned, technologically integrated, and aligned with local health priorities – they achieve remarkable adoption rates in one of the world's most sophisticated urban markets. The sales momentum we've built positions us to capture 18% market share in Beijing's premium nutrition segment by Q2 2024.</w:t>
      </w:r>
    </w:p>
    <w:p>
      <w:pPr>
        <w:pStyle w:val="BodyText"/>
      </w:pPr>
      <w:r>
        <w:t xml:space="preserve">As China's capital continues its healthcare modernization journey, our data confirms that Dietitian services are transitioning from a niche offering to an essential component of preventive care. For stakeholders investing in health services across China Beijing, the evidence is clear: specialized dietitian solutions represent not just a sales opportunity, but a strategic imperative for long-term market leadership in one of the world's most promising healthcare markets.</w:t>
      </w:r>
    </w:p>
    <w:p>
      <w:pPr>
        <w:pStyle w:val="BodyText"/>
      </w:pPr>
      <w:r>
        <w:t xml:space="preserve">Prepared by: Global Health Solutions | Sales Intelligence Division</w:t>
      </w:r>
      <w:r>
        <w:br/>
      </w:r>
      <w:r>
        <w:t xml:space="preserve">Date: October 26, 2023 | Beijing Market Report | Confidential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Dietitian Services Sales Report</dc:title>
  <dc:creator/>
  <dc:language>en</dc:language>
  <cp:keywords/>
  <dcterms:created xsi:type="dcterms:W3CDTF">2025-12-11T17:28:40Z</dcterms:created>
  <dcterms:modified xsi:type="dcterms:W3CDTF">2025-12-11T17:28:40Z</dcterms:modified>
</cp:coreProperties>
</file>

<file path=docProps/custom.xml><?xml version="1.0" encoding="utf-8"?>
<Properties xmlns="http://schemas.openxmlformats.org/officeDocument/2006/custom-properties" xmlns:vt="http://schemas.openxmlformats.org/officeDocument/2006/docPropsVTypes"/>
</file>