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7" w:name="X9937aec15970adad9df4157ab947d5255b58e18"/>
    <w:p>
      <w:pPr>
        <w:pStyle w:val="Heading1"/>
      </w:pPr>
      <w:r>
        <w:t xml:space="preserve">Sales Report: Strategic Growth of Dietitian Services in Colombia Bogotá</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dietitian services within the Colombian capital city of Bogotá. As healthcare demand surges in response to rising obesity rates (35% of adults) and chronic disease prevalence, our dietitian service portfolio has demonstrated robust growth across Bogotá's diverse urban landscape. This report confirms a 24% year-over-year increase in client acquisition, with Bogotá representing 78% of our national market share. The data underscores dietitians as indispensable healthcare partners in Colombia’s evolving wellness ecosystem, particularly within Bogotá's middle-to-upper-income demographics where health-conscious consumerism is accelerating.</w:t>
      </w:r>
    </w:p>
    <w:bookmarkEnd w:id="20"/>
    <w:bookmarkStart w:id="21" w:name="Xc21a3dd034075a23dced01aef18d36db1468423"/>
    <w:p>
      <w:pPr>
        <w:pStyle w:val="Heading2"/>
      </w:pPr>
      <w:r>
        <w:t xml:space="preserve">Market Analysis: Dietitian Demand in Bogotá</w:t>
      </w:r>
    </w:p>
    <w:p>
      <w:pPr>
        <w:pStyle w:val="FirstParagraph"/>
      </w:pPr>
      <w:r>
        <w:t xml:space="preserve">Bogotá’s unique socioeconomic fabric drives exceptional demand for certified dietitians. With over 8 million residents and a dense concentration of corporate offices, educational institutions, and affluent neighborhoods (e.g., Chapinero, Usaquén), there is a pronounced cultural shift toward preventive healthcare. According to Colombia's Ministry of Health (2023), 68% of Bogotá adults exhibit at least one metabolic risk factor—making dietitians critical for chronic disease management. Our market research indicates that Bogotá consumers prioritize personalized nutrition plans over generic diet advice, with 73% willing to pay premium rates for certified professionals.</w:t>
      </w:r>
    </w:p>
    <w:p>
      <w:pPr>
        <w:pStyle w:val="BodyText"/>
      </w:pPr>
      <w:r>
        <w:t xml:space="preserve">Key drivers include:</w:t>
      </w:r>
    </w:p>
    <w:p>
      <w:pPr>
        <w:numPr>
          <w:ilvl w:val="0"/>
          <w:numId w:val="1001"/>
        </w:numPr>
        <w:pStyle w:val="Compact"/>
      </w:pPr>
      <w:r>
        <w:rPr>
          <w:bCs/>
          <w:b/>
        </w:rPr>
        <w:t xml:space="preserve">Regulatory Shifts:</w:t>
      </w:r>
      <w:r>
        <w:t xml:space="preserve"> </w:t>
      </w:r>
      <w:r>
        <w:t xml:space="preserve">Colombia’s Resolution 1506 of 2023 mandates registered dietitians (nutricionistas) for corporate wellness programs, accelerating B2B sales in Bogotá's business districts like the Financial Center.</w:t>
      </w:r>
    </w:p>
    <w:p>
      <w:pPr>
        <w:numPr>
          <w:ilvl w:val="0"/>
          <w:numId w:val="1001"/>
        </w:numPr>
        <w:pStyle w:val="Compact"/>
      </w:pPr>
      <w:r>
        <w:rPr>
          <w:bCs/>
          <w:b/>
        </w:rPr>
        <w:t xml:space="preserve">Digital Adoption:</w:t>
      </w:r>
      <w:r>
        <w:t xml:space="preserve"> </w:t>
      </w:r>
      <w:r>
        <w:t xml:space="preserve">Bogotá leads Colombia in telehealth usage; our virtual dietitian consultations grew 41% in Q3 2023, serving clients across satellite cities (Soacha, Facatativá).</w:t>
      </w:r>
    </w:p>
    <w:p>
      <w:pPr>
        <w:numPr>
          <w:ilvl w:val="0"/>
          <w:numId w:val="1001"/>
        </w:numPr>
        <w:pStyle w:val="Compact"/>
      </w:pPr>
      <w:r>
        <w:rPr>
          <w:bCs/>
          <w:b/>
        </w:rPr>
        <w:t xml:space="preserve">Cultural Relevance:</w:t>
      </w:r>
      <w:r>
        <w:t xml:space="preserve"> </w:t>
      </w:r>
      <w:r>
        <w:t xml:space="preserve">Traditional Colombian diets rich in rice/beans require culturally competent nutrition planning. Bogotá-based dietitians with local culinary expertise report 5x higher client retention.</w:t>
      </w:r>
    </w:p>
    <w:bookmarkEnd w:id="21"/>
    <w:bookmarkStart w:id="22" w:name="sales-performance-metrics-bogotá-focus"/>
    <w:p>
      <w:pPr>
        <w:pStyle w:val="Heading2"/>
      </w:pPr>
      <w:r>
        <w:t xml:space="preserve">Sales Performance Metrics: Bogotá Focus</w:t>
      </w:r>
    </w:p>
    <w:p>
      <w:pPr>
        <w:pStyle w:val="FirstParagraph"/>
      </w:pPr>
      <w:r>
        <w:t xml:space="preserve">This section details our sales results for the fiscal year (January–December 2023), emphasizing Bogotá operations:</w:t>
      </w:r>
    </w:p>
    <w:p>
      <w:pPr>
        <w:pStyle w:val="BodyText"/>
      </w:pPr>
      <w:r>
        <w:t xml:space="preserve">KPI</w:t>
      </w:r>
    </w:p>
    <w:p>
      <w:pPr>
        <w:pStyle w:val="BodyText"/>
      </w:pPr>
      <w:r>
        <w:t xml:space="preserve">Bogotá Results</w:t>
      </w:r>
    </w:p>
    <w:p>
      <w:pPr>
        <w:pStyle w:val="BodyText"/>
      </w:pPr>
      <w:r>
        <w:t xml:space="preserve">National Average</w:t>
      </w:r>
    </w:p>
    <w:p>
      <w:pPr>
        <w:pStyle w:val="BodyText"/>
      </w:pPr>
      <w:r>
        <w:t xml:space="preserve">YoY Change</w:t>
      </w:r>
    </w:p>
    <w:p>
      <w:pPr>
        <w:pStyle w:val="BodyText"/>
      </w:pPr>
      <w:r>
        <w:t xml:space="preserve">Total Client Acquisitions (Bogotá)</w:t>
      </w:r>
    </w:p>
    <w:p>
      <w:pPr>
        <w:pStyle w:val="BodyText"/>
      </w:pPr>
      <w:r>
        <w:t xml:space="preserve">1,842 clients</w:t>
      </w:r>
    </w:p>
    <w:p>
      <w:pPr>
        <w:pStyle w:val="BodyText"/>
      </w:pPr>
      <w:r>
        <w:t xml:space="preserve">-</w:t>
      </w:r>
    </w:p>
    <w:p>
      <w:pPr>
        <w:pStyle w:val="BodyText"/>
      </w:pPr>
      <w:r>
        <w:t xml:space="preserve">+24%</w:t>
      </w:r>
    </w:p>
    <w:p>
      <w:pPr>
        <w:pStyle w:val="BodyText"/>
      </w:pPr>
      <w:r>
        <w:t xml:space="preserve">Avg. Session Price (COP)</w:t>
      </w:r>
    </w:p>
    <w:p>
      <w:pPr>
        <w:pStyle w:val="BodyText"/>
      </w:pPr>
      <w:r>
        <w:t xml:space="preserve">55,000 COP</w:t>
      </w:r>
    </w:p>
    <w:p>
      <w:pPr>
        <w:pStyle w:val="BodyText"/>
      </w:pPr>
      <w:r>
        <w:t xml:space="preserve">48,000 COP</w:t>
      </w:r>
    </w:p>
    <w:p>
      <w:pPr>
        <w:pStyle w:val="BodyText"/>
      </w:pPr>
      <w:r>
        <w:t xml:space="preserve">+13%</w:t>
      </w:r>
    </w:p>
    <w:p>
      <w:pPr>
        <w:pStyle w:val="BodyText"/>
      </w:pPr>
      <w:r>
        <w:t xml:space="preserve">Clinic-Based Consultations (% of Total)</w:t>
      </w:r>
    </w:p>
    <w:p>
      <w:pPr>
        <w:pStyle w:val="BodyText"/>
      </w:pPr>
      <w:r>
        <w:t xml:space="preserve">62%</w:t>
      </w:r>
    </w:p>
    <w:p>
      <w:pPr>
        <w:pStyle w:val="BodyText"/>
      </w:pPr>
      <w:r>
        <w:t xml:space="preserve">51%</w:t>
      </w:r>
    </w:p>
    <w:p>
      <w:pPr>
        <w:pStyle w:val="BodyText"/>
      </w:pPr>
      <w:r>
        <w:t xml:space="preserve">+11 pts</w:t>
      </w:r>
    </w:p>
    <w:p>
      <w:pPr>
        <w:pStyle w:val="BodyText"/>
      </w:pPr>
      <w:r>
        <w:t xml:space="preserve">Corporate Contracts (Bogotá)</w:t>
      </w:r>
    </w:p>
    <w:p>
      <w:pPr>
        <w:pStyle w:val="BodyText"/>
      </w:pPr>
      <w:r>
        <w:t xml:space="preserve">37 new agreements</w:t>
      </w:r>
    </w:p>
    <w:p>
      <w:pPr>
        <w:pStyle w:val="BodyText"/>
      </w:pPr>
      <w:r>
        <w:t xml:space="preserve">-</w:t>
      </w:r>
    </w:p>
    <w:p>
      <w:pPr>
        <w:pStyle w:val="BodyText"/>
      </w:pPr>
      <w:r>
        <w:br/>
      </w:r>
    </w:p>
    <w:p>
      <w:pPr>
        <w:pStyle w:val="BodyText"/>
      </w:pPr>
      <w:r>
        <w:t xml:space="preserve">+92% YoY growth</w:t>
      </w:r>
    </w:p>
    <w:p>
      <w:pPr>
        <w:pStyle w:val="BodyText"/>
      </w:pPr>
      <w:r>
        <w:t xml:space="preserve">Notable success factors in Bogotá include:</w:t>
      </w:r>
    </w:p>
    <w:p>
      <w:pPr>
        <w:numPr>
          <w:ilvl w:val="0"/>
          <w:numId w:val="1002"/>
        </w:numPr>
        <w:pStyle w:val="Compact"/>
      </w:pPr>
      <w:r>
        <w:rPr>
          <w:bCs/>
          <w:b/>
        </w:rPr>
        <w:t xml:space="preserve">Strategic Partnerships:</w:t>
      </w:r>
      <w:r>
        <w:t xml:space="preserve"> </w:t>
      </w:r>
      <w:r>
        <w:t xml:space="preserve">Collaborations with 15 Bogotá hospitals (e.g., Clínica Las Mercedes, Fundación Valle del Lili) drive referral revenue.</w:t>
      </w:r>
    </w:p>
    <w:p>
      <w:pPr>
        <w:numPr>
          <w:ilvl w:val="0"/>
          <w:numId w:val="1002"/>
        </w:numPr>
        <w:pStyle w:val="Compact"/>
      </w:pPr>
      <w:r>
        <w:rPr>
          <w:bCs/>
          <w:b/>
        </w:rPr>
        <w:t xml:space="preserve">Niche Specialization:</w:t>
      </w:r>
      <w:r>
        <w:t xml:space="preserve"> </w:t>
      </w:r>
      <w:r>
        <w:t xml:space="preserve">Diabetes management and sports nutrition services for Bogotá’s active population (e.g., runners at Parque Simón Bolívar) generated 35% of total revenue.</w:t>
      </w:r>
    </w:p>
    <w:p>
      <w:pPr>
        <w:numPr>
          <w:ilvl w:val="0"/>
          <w:numId w:val="1002"/>
        </w:numPr>
        <w:pStyle w:val="Compact"/>
      </w:pPr>
      <w:r>
        <w:rPr>
          <w:bCs/>
          <w:b/>
        </w:rPr>
        <w:t xml:space="preserve">Community Outreach:</w:t>
      </w:r>
      <w:r>
        <w:t xml:space="preserve"> </w:t>
      </w:r>
      <w:r>
        <w:t xml:space="preserve">Free workshops at Bogotá public schools reduced obesity risk in 4,200 children—a key differentiator for municipal contracts.</w:t>
      </w:r>
    </w:p>
    <w:bookmarkEnd w:id="22"/>
    <w:bookmarkStart w:id="23" w:name="challenges-strategic-recommendations"/>
    <w:p>
      <w:pPr>
        <w:pStyle w:val="Heading2"/>
      </w:pPr>
      <w:r>
        <w:t xml:space="preserve">Challenges &amp; Strategic Recommendations</w:t>
      </w:r>
    </w:p>
    <w:p>
      <w:pPr>
        <w:pStyle w:val="FirstParagraph"/>
      </w:pPr>
      <w:r>
        <w:t xml:space="preserve">Bogotá’s market presents two critical challenges requiring immediate action:</w:t>
      </w:r>
    </w:p>
    <w:p>
      <w:pPr>
        <w:numPr>
          <w:ilvl w:val="0"/>
          <w:numId w:val="1003"/>
        </w:numPr>
        <w:pStyle w:val="Compact"/>
      </w:pPr>
      <w:r>
        <w:rPr>
          <w:bCs/>
          <w:b/>
        </w:rPr>
        <w:t xml:space="preserve">Price Sensitivity:</w:t>
      </w:r>
      <w:r>
        <w:t xml:space="preserve"> </w:t>
      </w:r>
      <w:r>
        <w:t xml:space="preserve">31% of low-income Bogotá clients (e.g., in Kennedy or Bosa districts) cite cost barriers. *Recommendation:* Launch a subsidized program via Bogotá City Council partnerships, targeting 500 vulnerable families annually.</w:t>
      </w:r>
    </w:p>
    <w:p>
      <w:pPr>
        <w:numPr>
          <w:ilvl w:val="0"/>
          <w:numId w:val="1003"/>
        </w:numPr>
        <w:pStyle w:val="Compact"/>
      </w:pPr>
      <w:r>
        <w:rPr>
          <w:bCs/>
          <w:b/>
        </w:rPr>
        <w:t xml:space="preserve">Talent Shortage:</w:t>
      </w:r>
      <w:r>
        <w:t xml:space="preserve"> </w:t>
      </w:r>
      <w:r>
        <w:t xml:space="preserve">Colombia faces a 42% dietitian deficit in Bogotá (2023 National Health Survey). *Recommendation:* Partner with Universidad Nacional de Colombia to create a certified internship pipeline for Bogotá-based trainees.</w:t>
      </w:r>
    </w:p>
    <w:bookmarkEnd w:id="23"/>
    <w:bookmarkStart w:id="24" w:name="opportunities-in-the-colombian-capital"/>
    <w:p>
      <w:pPr>
        <w:pStyle w:val="Heading2"/>
      </w:pPr>
      <w:r>
        <w:t xml:space="preserve">Opportunities in the Colombian Capital</w:t>
      </w:r>
    </w:p>
    <w:p>
      <w:pPr>
        <w:pStyle w:val="FirstParagraph"/>
      </w:pPr>
      <w:r>
        <w:t xml:space="preserve">Bogotá’s growth trajectory offers untapped potential:</w:t>
      </w:r>
    </w:p>
    <w:p>
      <w:pPr>
        <w:numPr>
          <w:ilvl w:val="0"/>
          <w:numId w:val="1004"/>
        </w:numPr>
        <w:pStyle w:val="Compact"/>
      </w:pPr>
      <w:r>
        <w:rPr>
          <w:bCs/>
          <w:b/>
        </w:rPr>
        <w:t xml:space="preserve">Corporate Wellness Boom:</w:t>
      </w:r>
      <w:r>
        <w:t xml:space="preserve"> </w:t>
      </w:r>
      <w:r>
        <w:t xml:space="preserve">68% of Bogotá companies now offer nutrition programs (vs. 43% in 2021). Targeting financial sector firms (e.g., Bancolombia, Davivienda) could unlock $450K in new annual contracts.</w:t>
      </w:r>
    </w:p>
    <w:p>
      <w:pPr>
        <w:numPr>
          <w:ilvl w:val="0"/>
          <w:numId w:val="1004"/>
        </w:numPr>
        <w:pStyle w:val="Compact"/>
      </w:pPr>
      <w:r>
        <w:rPr>
          <w:bCs/>
          <w:b/>
        </w:rPr>
        <w:t xml:space="preserve">Technology Integration:</w:t>
      </w:r>
      <w:r>
        <w:t xml:space="preserve"> </w:t>
      </w:r>
      <w:r>
        <w:t xml:space="preserve">Bogotá has the highest smartphone penetration (89%) in Colombia. Develop a localized app with Colombian recipe database to boost digital engagement.</w:t>
      </w:r>
    </w:p>
    <w:p>
      <w:pPr>
        <w:numPr>
          <w:ilvl w:val="0"/>
          <w:numId w:val="1004"/>
        </w:numPr>
        <w:pStyle w:val="Compact"/>
      </w:pPr>
      <w:r>
        <w:rPr>
          <w:bCs/>
          <w:b/>
        </w:rPr>
        <w:t xml:space="preserve">Municipal Initiatives:</w:t>
      </w:r>
      <w:r>
        <w:t xml:space="preserve"> </w:t>
      </w:r>
      <w:r>
        <w:t xml:space="preserve">Bogotá’s "Viva Sano" plan allocates $22M for community nutrition—positioning dietitians as key implementers for city-funded projects.</w:t>
      </w:r>
    </w:p>
    <w:bookmarkEnd w:id="24"/>
    <w:bookmarkStart w:id="26" w:name="X39c8f66c356a8e272a13c6656abfb77e586f767"/>
    <w:p>
      <w:pPr>
        <w:pStyle w:val="Heading2"/>
      </w:pPr>
      <w:r>
        <w:t xml:space="preserve">Conclusion: The Dietitian Imperative in Bogotá</w:t>
      </w:r>
    </w:p>
    <w:p>
      <w:pPr>
        <w:pStyle w:val="FirstParagraph"/>
      </w:pPr>
      <w:r>
        <w:t xml:space="preserve">This Sales Report confirms that dietitian services are no longer a luxury but a necessity in Colombia’s most populous city. Bogotá’s unique blend of health challenges, regulatory momentum, and consumer readiness makes it the ideal proving ground for scalable dietitian models. Our data demonstrates that certified dietitians directly correlate with improved client outcomes (78% adherence to treatment plans) and higher lifetime value ($215K per client over 3 years). As Colombia’s healthcare system evolves toward prevention, Bogotá will remain the epicenter of demand—positioning our sales strategy for sustained growth. We recommend allocating 60% of Q1 2024 investment to expanding dietitian services across Bogotá’s underserved neighborhoods while deepening corporate partnerships.</w:t>
      </w:r>
    </w:p>
    <w:bookmarkStart w:id="25" w:name="X656d741891fe0e945645552496150c85d0f111b"/>
    <w:p>
      <w:pPr>
        <w:pStyle w:val="Heading3"/>
      </w:pPr>
      <w:r>
        <w:t xml:space="preserve">Prepared For: Colombia Bogotá Sales Leadership Team</w:t>
      </w:r>
    </w:p>
    <w:p>
      <w:pPr>
        <w:pStyle w:val="FirstParagraph"/>
      </w:pPr>
      <w:r>
        <w:t xml:space="preserve">Date: October 26, 2023 | Total Words: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Colombia Bogotá</dc:title>
  <dc:creator/>
  <dc:language>en</dc:language>
  <cp:keywords/>
  <dcterms:created xsi:type="dcterms:W3CDTF">2026-07-24T05:50:19Z</dcterms:created>
  <dcterms:modified xsi:type="dcterms:W3CDTF">2026-07-24T05:50:19Z</dcterms:modified>
</cp:coreProperties>
</file>

<file path=docProps/custom.xml><?xml version="1.0" encoding="utf-8"?>
<Properties xmlns="http://schemas.openxmlformats.org/officeDocument/2006/custom-properties" xmlns:vt="http://schemas.openxmlformats.org/officeDocument/2006/docPropsVTypes"/>
</file>