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f6573c66f0a34ca818dfa63d0762cf18284b888"/>
    <w:p>
      <w:pPr>
        <w:pStyle w:val="Heading1"/>
      </w:pPr>
      <w:r>
        <w:t xml:space="preserve">Comprehensive Sales Report for Professional Dietitian Services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Health Innovation Partners (HIP), Addis Ababa</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dietitian service offerings across Ethiopia Addis Ababa, highlighting significant market penetration and growth opportunities. In the past quarter, we achieved a remarkable 34% year-over-year sales increase, driven by rising health consciousness and strategic partnerships within Ethiopia's evolving healthcare landscape. As the leading provider of evidence-based nutrition services in Addis Ababa, our dietitian team has positioned itself as an indispensable resource for both clinical and community health initiatives across Ethiopia.</w:t>
      </w:r>
    </w:p>
    <w:bookmarkEnd w:id="20"/>
    <w:bookmarkStart w:id="21" w:name="X3926a741d1857a1d65d9c35869da55cbc180543"/>
    <w:p>
      <w:pPr>
        <w:pStyle w:val="Heading2"/>
      </w:pPr>
      <w:r>
        <w:t xml:space="preserve">II. Market Context: Dietitian Services in Addis Ababa, Ethiopia</w:t>
      </w:r>
    </w:p>
    <w:p>
      <w:pPr>
        <w:pStyle w:val="FirstParagraph"/>
      </w:pPr>
      <w:r>
        <w:t xml:space="preserve">Addis Ababa represents the epicenter of healthcare innovation in Ethiopia, housing 40% of the nation's specialized medical facilities. The demand for certified dietitian services has surged due to:</w:t>
      </w:r>
    </w:p>
    <w:p>
      <w:pPr>
        <w:numPr>
          <w:ilvl w:val="0"/>
          <w:numId w:val="1001"/>
        </w:numPr>
        <w:pStyle w:val="Compact"/>
      </w:pPr>
      <w:r>
        <w:t xml:space="preserve">Rising prevalence of non-communicable diseases (NCDs) including diabetes and hypertension affecting 25% of urban populations</w:t>
      </w:r>
    </w:p>
    <w:p>
      <w:pPr>
        <w:numPr>
          <w:ilvl w:val="0"/>
          <w:numId w:val="1001"/>
        </w:numPr>
        <w:pStyle w:val="Compact"/>
      </w:pPr>
      <w:r>
        <w:t xml:space="preserve">Government initiatives like the National Nutrition Program (NNP) emphasizing preventive care</w:t>
      </w:r>
    </w:p>
    <w:p>
      <w:pPr>
        <w:numPr>
          <w:ilvl w:val="0"/>
          <w:numId w:val="1001"/>
        </w:numPr>
        <w:pStyle w:val="Compact"/>
      </w:pPr>
      <w:r>
        <w:t xml:space="preserve">Increased corporate wellness programs in Addis Ababa's growing business hubs</w:t>
      </w:r>
    </w:p>
    <w:p>
      <w:pPr>
        <w:pStyle w:val="FirstParagraph"/>
      </w:pPr>
      <w:r>
        <w:t xml:space="preserve">Despite this, Ethiopia Addis Ababa faces a critical shortage of registered dietitians—only 120 certified professionals serve over 5 million residents. This creates an urgent market gap our Sales Report confirms as our most promising growth vector.</w:t>
      </w:r>
    </w:p>
    <w:bookmarkEnd w:id="21"/>
    <w:bookmarkStart w:id="22" w:name="iii.-quarterly-sales-performance-q3-2023"/>
    <w:p>
      <w:pPr>
        <w:pStyle w:val="Heading2"/>
      </w:pPr>
      <w:r>
        <w:t xml:space="preserve">III. Quarterly Sales Performance (Q3 2023)</w:t>
      </w:r>
    </w:p>
    <w:p>
      <w:pPr>
        <w:pStyle w:val="FirstParagraph"/>
      </w:pPr>
      <w:r>
        <w:t xml:space="preserve">Service Category</w:t>
      </w:r>
    </w:p>
    <w:p>
      <w:pPr>
        <w:pStyle w:val="BodyText"/>
      </w:pPr>
      <w:r>
        <w:t xml:space="preserve">Q2 2023 Sales (ETB)</w:t>
      </w:r>
    </w:p>
    <w:p>
      <w:pPr>
        <w:pStyle w:val="BodyText"/>
      </w:pPr>
      <w:r>
        <w:t xml:space="preserve">Q3 2023 Sales (ETB)</w:t>
      </w:r>
    </w:p>
    <w:p>
      <w:pPr>
        <w:pStyle w:val="BodyText"/>
      </w:pPr>
      <w:r>
        <w:t xml:space="preserve">% Growth</w:t>
      </w:r>
    </w:p>
    <w:p>
      <w:pPr>
        <w:pStyle w:val="BodyText"/>
      </w:pPr>
      <w:r>
        <w:t xml:space="preserve">Clinical Dietitian Consultations</w:t>
      </w:r>
    </w:p>
    <w:p>
      <w:pPr>
        <w:pStyle w:val="BodyText"/>
      </w:pPr>
      <w:r>
        <w:t xml:space="preserve">485,000</w:t>
      </w:r>
    </w:p>
    <w:p>
      <w:pPr>
        <w:pStyle w:val="BodyText"/>
      </w:pPr>
      <w:r>
        <w:t xml:space="preserve">652,750</w:t>
      </w:r>
    </w:p>
    <w:p>
      <w:pPr>
        <w:pStyle w:val="BodyText"/>
      </w:pPr>
      <w:r>
        <w:t xml:space="preserve">+34.6%</w:t>
      </w:r>
    </w:p>
    <w:p>
      <w:pPr>
        <w:pStyle w:val="BodyText"/>
      </w:pPr>
      <w:r>
        <w:t xml:space="preserve">Clinic Partnership Programs</w:t>
      </w:r>
    </w:p>
    <w:p>
      <w:pPr>
        <w:pStyle w:val="BodyText"/>
      </w:pPr>
      <w:r>
        <w:t xml:space="preserve">&lt;</w:t>
      </w:r>
    </w:p>
    <w:p>
      <w:pPr>
        <w:pStyle w:val="BodyText"/>
      </w:pPr>
      <w:r>
        <w:t xml:space="preserve">218,300</w:t>
      </w:r>
    </w:p>
    <w:p>
      <w:pPr>
        <w:pStyle w:val="BodyText"/>
      </w:pPr>
      <w:r>
        <w:t xml:space="preserve">Total Revenue (ETB)</w:t>
      </w:r>
    </w:p>
    <w:p>
      <w:pPr>
        <w:pStyle w:val="BodyText"/>
      </w:pPr>
      <w:r>
        <w:t xml:space="preserve">875,400</w:t>
      </w:r>
    </w:p>
    <w:p>
      <w:pPr>
        <w:pStyle w:val="BodyText"/>
      </w:pPr>
      <w:r>
        <w:t xml:space="preserve">34.6%</w:t>
      </w:r>
    </w:p>
    <w:p>
      <w:pPr>
        <w:pStyle w:val="BodyText"/>
      </w:pPr>
      <w:r>
        <w:rPr>
          <w:bCs/>
          <w:b/>
        </w:rPr>
        <w:t xml:space="preserve">Key Growth Drivers:</w:t>
      </w:r>
    </w:p>
    <w:p>
      <w:pPr>
        <w:numPr>
          <w:ilvl w:val="0"/>
          <w:numId w:val="1002"/>
        </w:numPr>
        <w:pStyle w:val="Compact"/>
      </w:pPr>
      <w:r>
        <w:t xml:space="preserve">Successful integration with 8 new healthcare facilities including Black Lion Hospital and Yekatit 12 Hospital in Addis Ababa</w:t>
      </w:r>
    </w:p>
    <w:p>
      <w:pPr>
        <w:numPr>
          <w:ilvl w:val="0"/>
          <w:numId w:val="1002"/>
        </w:numPr>
        <w:pStyle w:val="Compact"/>
      </w:pPr>
      <w:r>
        <w:t xml:space="preserve">Government contract secured through the Ministry of Health for diabetes management programs across 5 Addis Ababa sub-cities</w:t>
      </w:r>
    </w:p>
    <w:p>
      <w:pPr>
        <w:numPr>
          <w:ilvl w:val="0"/>
          <w:numId w:val="1002"/>
        </w:numPr>
        <w:pStyle w:val="Compact"/>
      </w:pPr>
      <w:r>
        <w:t xml:space="preserve">30% increase in corporate wellness contracts (e.g., Ethio-Telecom, Bole International Airport staff health programs)</w:t>
      </w:r>
    </w:p>
    <w:bookmarkEnd w:id="22"/>
    <w:bookmarkStart w:id="26" w:name="Xbc1815d2ab0672645cb3cd5939b75968227bc61"/>
    <w:p>
      <w:pPr>
        <w:pStyle w:val="Heading2"/>
      </w:pPr>
      <w:r>
        <w:t xml:space="preserve">IV. Customer Analysis: Ethiopia Addis Ababa Market</w:t>
      </w:r>
    </w:p>
    <w:p>
      <w:pPr>
        <w:pStyle w:val="FirstParagraph"/>
      </w:pPr>
      <w:r>
        <w:t xml:space="preserve">Our sales data reveals three dominant customer segments in Ethiopia Addis Ababa:</w:t>
      </w:r>
    </w:p>
    <w:bookmarkStart w:id="23" w:name="a.-healthcare-institutions"/>
    <w:p>
      <w:pPr>
        <w:pStyle w:val="Heading3"/>
      </w:pPr>
      <w:r>
        <w:t xml:space="preserve">A. Healthcare Institutions</w:t>
      </w:r>
    </w:p>
    <w:p>
      <w:pPr>
        <w:pStyle w:val="FirstParagraph"/>
      </w:pPr>
      <w:r>
        <w:t xml:space="preserve">Accounting for 58% of revenue, hospitals and clinics seek dietitian services to comply with WHO nutrition standards. The recent contract with Addis Ababa City Administration's Health Bureau represents a landmark achievement, enabling our dietitian team to serve 12,000 patients monthly through public health centers.</w:t>
      </w:r>
    </w:p>
    <w:bookmarkEnd w:id="23"/>
    <w:bookmarkStart w:id="24" w:name="b.-private-corporations"/>
    <w:p>
      <w:pPr>
        <w:pStyle w:val="Heading3"/>
      </w:pPr>
      <w:r>
        <w:t xml:space="preserve">B. Private Corporations</w:t>
      </w:r>
    </w:p>
    <w:p>
      <w:pPr>
        <w:pStyle w:val="FirstParagraph"/>
      </w:pPr>
      <w:r>
        <w:t xml:space="preserve">Corporate clients (25% revenue share) demonstrate growing investment in employee wellness. Our customized meal planning services for Ethiopia's top 10 businesses reduced absenteeism by 18% in pilot programs, directly boosting sales conversion rates.</w:t>
      </w:r>
    </w:p>
    <w:bookmarkEnd w:id="24"/>
    <w:bookmarkStart w:id="25" w:name="c.-individual-clients"/>
    <w:p>
      <w:pPr>
        <w:pStyle w:val="Heading3"/>
      </w:pPr>
      <w:r>
        <w:t xml:space="preserve">C. Individual Clients</w:t>
      </w:r>
    </w:p>
    <w:p>
      <w:pPr>
        <w:pStyle w:val="FirstParagraph"/>
      </w:pPr>
      <w:r>
        <w:t xml:space="preserve">Direct-to-consumer sales (17%) show exponential growth via our mobile app "Nourish Addis," downloaded 14,000+ times in Q3. This platform enables remote dietitian consultations—a critical solution for Addis Ababa's traffic congestion challenges.</w:t>
      </w:r>
    </w:p>
    <w:bookmarkEnd w:id="25"/>
    <w:bookmarkEnd w:id="26"/>
    <w:bookmarkStart w:id="27" w:name="v.-challenges-strategic-responses"/>
    <w:p>
      <w:pPr>
        <w:pStyle w:val="Heading2"/>
      </w:pPr>
      <w:r>
        <w:t xml:space="preserve">V. Challenges &amp; Strategic Responses</w:t>
      </w:r>
    </w:p>
    <w:p>
      <w:pPr>
        <w:pStyle w:val="FirstParagraph"/>
      </w:pPr>
      <w:r>
        <w:t xml:space="preserve">Despite strong performance, our Sales Report identifies key Ethiopia Addis Ababa market barriers:</w:t>
      </w:r>
    </w:p>
    <w:p>
      <w:pPr>
        <w:numPr>
          <w:ilvl w:val="0"/>
          <w:numId w:val="1003"/>
        </w:numPr>
        <w:pStyle w:val="Compact"/>
      </w:pPr>
      <w:r>
        <w:rPr>
          <w:bCs/>
          <w:b/>
        </w:rPr>
        <w:t xml:space="preserve">Infrastructure Limitations:</w:t>
      </w:r>
      <w:r>
        <w:t xml:space="preserve"> </w:t>
      </w:r>
      <w:r>
        <w:t xml:space="preserve">Inconsistent electricity in suburban clinics required us to develop solar-powered consultation kits for our dietitian team. This investment reduced service interruptions by 72%.</w:t>
      </w:r>
    </w:p>
    <w:p>
      <w:pPr>
        <w:numPr>
          <w:ilvl w:val="0"/>
          <w:numId w:val="1003"/>
        </w:numPr>
        <w:pStyle w:val="Compact"/>
      </w:pPr>
      <w:r>
        <w:rPr>
          <w:bCs/>
          <w:b/>
        </w:rPr>
        <w:t xml:space="preserve">Cultural Adaptation:</w:t>
      </w:r>
      <w:r>
        <w:t xml:space="preserve"> </w:t>
      </w:r>
      <w:r>
        <w:t xml:space="preserve">Initial resistance to Western dietary models prompted our dietitian staff to co-develop culturally relevant meal plans using local ingredients (injera, teff, berbere spice blends). This increased client retention by 41%.</w:t>
      </w:r>
    </w:p>
    <w:p>
      <w:pPr>
        <w:numPr>
          <w:ilvl w:val="0"/>
          <w:numId w:val="1003"/>
        </w:numPr>
        <w:pStyle w:val="Compact"/>
      </w:pPr>
      <w:r>
        <w:rPr>
          <w:bCs/>
          <w:b/>
        </w:rPr>
        <w:t xml:space="preserve">Regulatory Hurdles:</w:t>
      </w:r>
      <w:r>
        <w:t xml:space="preserve"> </w:t>
      </w:r>
      <w:r>
        <w:t xml:space="preserve">Collaborated with Ethiopian Food and Nutrition Institute (EFNI) to standardize dietitian certification—accelerating our government partnership pipeline.</w:t>
      </w:r>
    </w:p>
    <w:bookmarkEnd w:id="27"/>
    <w:bookmarkStart w:id="28" w:name="X09a55921815deaf47e126f9bb87a8a2ef187de5"/>
    <w:p>
      <w:pPr>
        <w:pStyle w:val="Heading2"/>
      </w:pPr>
      <w:r>
        <w:t xml:space="preserve">VI. Future Sales Strategy for Ethiopia Addis Ababa</w:t>
      </w:r>
    </w:p>
    <w:p>
      <w:pPr>
        <w:pStyle w:val="FirstParagraph"/>
      </w:pPr>
      <w:r>
        <w:t xml:space="preserve">Building on Q3 success, our 2024 strategy focuses on three pillars:</w:t>
      </w:r>
    </w:p>
    <w:p>
      <w:pPr>
        <w:numPr>
          <w:ilvl w:val="0"/>
          <w:numId w:val="1004"/>
        </w:numPr>
        <w:pStyle w:val="Compact"/>
      </w:pPr>
      <w:r>
        <w:rPr>
          <w:bCs/>
          <w:b/>
        </w:rPr>
        <w:t xml:space="preserve">Scale Clinical Reach:</w:t>
      </w:r>
      <w:r>
        <w:t xml:space="preserve"> </w:t>
      </w:r>
      <w:r>
        <w:t xml:space="preserve">Partner with 15 additional public health centers across Addis Ababa sub-cities by Q2 2024, targeting underserved areas like Lemi and Kozhe. This will expand our dietitian service footprint to cover 35% of Addis Ababa's population.</w:t>
      </w:r>
    </w:p>
    <w:p>
      <w:pPr>
        <w:numPr>
          <w:ilvl w:val="0"/>
          <w:numId w:val="1004"/>
        </w:numPr>
        <w:pStyle w:val="Compact"/>
      </w:pPr>
      <w:r>
        <w:rPr>
          <w:bCs/>
          <w:b/>
        </w:rPr>
        <w:t xml:space="preserve">Technology Integration:</w:t>
      </w:r>
      <w:r>
        <w:t xml:space="preserve"> </w:t>
      </w:r>
      <w:r>
        <w:t xml:space="preserve">Launch "Dietitian Connect" AI platform (beta Q1 2024) that uses voice recognition for Amharic/English consultations—addressing literacy barriers while maintaining personal dietitian interaction.</w:t>
      </w:r>
    </w:p>
    <w:p>
      <w:pPr>
        <w:numPr>
          <w:ilvl w:val="0"/>
          <w:numId w:val="1004"/>
        </w:numPr>
        <w:pStyle w:val="Compact"/>
      </w:pPr>
      <w:r>
        <w:rPr>
          <w:bCs/>
          <w:b/>
        </w:rPr>
        <w:t xml:space="preserve">Community Empowerment:</w:t>
      </w:r>
      <w:r>
        <w:t xml:space="preserve"> </w:t>
      </w:r>
      <w:r>
        <w:t xml:space="preserve">Train 50 community health workers in basic nutrition education across Addis Ababa's woredas. This creates local referral networks boosting our dietitian service accessibility by 60%.</w:t>
      </w:r>
    </w:p>
    <w:bookmarkEnd w:id="28"/>
    <w:bookmarkStart w:id="29" w:name="X26a0957cd7cd2c30a379b368d50cf801560bc3a"/>
    <w:p>
      <w:pPr>
        <w:pStyle w:val="Heading2"/>
      </w:pPr>
      <w:r>
        <w:t xml:space="preserve">VII. Conclusion: The Dietitian Imperative in Ethiopia Addis Ababa</w:t>
      </w:r>
    </w:p>
    <w:p>
      <w:pPr>
        <w:pStyle w:val="FirstParagraph"/>
      </w:pPr>
      <w:r>
        <w:t xml:space="preserve">This Sales Report confirms that professional dietitian services are no longer a luxury but a public health necessity in Ethiopia Addis Ababa. With the national NCD burden projected to rise by 45% by 2030, our data shows every ETB1 invested in dietitian services yields ETB3.8 in reduced healthcare costs. The strategic alignment of our dietitian offerings with Ethiopia's Health Sector Transformation Plan (HSTP) positions us for sustainable growth across Addis Ababa's evolving healthcare ecosystem.</w:t>
      </w:r>
    </w:p>
    <w:p>
      <w:pPr>
        <w:pStyle w:val="BodyText"/>
      </w:pPr>
      <w:r>
        <w:t xml:space="preserve">As the leading provider of specialized nutrition care in Addis Ababa, we recommend:</w:t>
      </w:r>
    </w:p>
    <w:p>
      <w:pPr>
        <w:numPr>
          <w:ilvl w:val="0"/>
          <w:numId w:val="1005"/>
        </w:numPr>
        <w:pStyle w:val="Compact"/>
      </w:pPr>
      <w:r>
        <w:t xml:space="preserve">Allocating 20% of Q4 budget to community nutrition workshops</w:t>
      </w:r>
    </w:p>
    <w:p>
      <w:pPr>
        <w:numPr>
          <w:ilvl w:val="0"/>
          <w:numId w:val="1005"/>
        </w:numPr>
        <w:pStyle w:val="Compact"/>
      </w:pPr>
      <w:r>
        <w:t xml:space="preserve">Pursuing WHO partnership status for our dietitian training programs</w:t>
      </w:r>
    </w:p>
    <w:p>
      <w:pPr>
        <w:numPr>
          <w:ilvl w:val="0"/>
          <w:numId w:val="1005"/>
        </w:numPr>
        <w:pStyle w:val="Compact"/>
      </w:pPr>
      <w:r>
        <w:t xml:space="preserve">Expanding mobile dietitian units to reach Addis Ababa's peri-urban communities by January 2024</w:t>
      </w:r>
    </w:p>
    <w:p>
      <w:pPr>
        <w:pStyle w:val="FirstParagraph"/>
      </w:pPr>
      <w:r>
        <w:t xml:space="preserve">In conclusion, the convergence of rising health needs, government priorities, and our proven service model makes Ethiopia Addis Ababa the optimal market for dietitian services expansion. This Sales Report underscores that our commitment to culturally intelligent nutrition care is not merely a business strategy—it's an investment in Ethiopia's long-term health resilience. We project 50% revenue growth by Q4 2024, solidifying our position as Ethiopia's premier dietitian service provider.</w:t>
      </w:r>
    </w:p>
    <w:p>
      <w:pPr>
        <w:pStyle w:val="BodyText"/>
      </w:pPr>
      <w:r>
        <w:rPr>
          <w:bCs/>
          <w:b/>
        </w:rPr>
        <w:t xml:space="preserve">Prepared By:</w:t>
      </w:r>
      <w:r>
        <w:t xml:space="preserve"> </w:t>
      </w:r>
      <w:r>
        <w:t xml:space="preserve">Health Innovation Partners Sales Intelligence Unit</w:t>
      </w:r>
      <w:r>
        <w:br/>
      </w:r>
      <w:r>
        <w:rPr>
          <w:bCs/>
          <w:b/>
        </w:rPr>
        <w:t xml:space="preserve">Contact:</w:t>
      </w:r>
      <w:r>
        <w:t xml:space="preserve"> </w:t>
      </w:r>
      <w:r>
        <w:t xml:space="preserve">sales@hip-ethiopia.org | +251 11 630 2748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Ethiopia Addis Ababa</dc:title>
  <dc:creator/>
  <dc:language>en</dc:language>
  <cp:keywords/>
  <dcterms:created xsi:type="dcterms:W3CDTF">2025-12-09T10:51:40Z</dcterms:created>
  <dcterms:modified xsi:type="dcterms:W3CDTF">2025-12-09T10:51:40Z</dcterms:modified>
</cp:coreProperties>
</file>

<file path=docProps/custom.xml><?xml version="1.0" encoding="utf-8"?>
<Properties xmlns="http://schemas.openxmlformats.org/officeDocument/2006/custom-properties" xmlns:vt="http://schemas.openxmlformats.org/officeDocument/2006/docPropsVTypes"/>
</file>