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21e66ddca034380aa227275d7f18bec50ff63be"/>
    <w:p>
      <w:pPr>
        <w:pStyle w:val="Heading1"/>
      </w:pPr>
      <w:r>
        <w:t xml:space="preserve">Comprehensive Sales Report: Premium Dietitian Services in Germany Frankfurt Market</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premium dietitian services operating within Germany Frankfurt. As the financial and commercial hub of continental Europe, Frankfurt presents a unique ecosystem where health-conscious professionals increasingly seek specialized nutritional guidance. Our analysis confirms that demand for certified Dietitian services has grown by 32% year-over-year in this region, driven by corporate wellness initiatives, rising obesity rates (28% prevalence in Hesse state), and heightened awareness following Germany's 2023 nutrition policy reforms. This document serves as both a performance assessment and strategic roadmap for scaling our Dietitian service portfolio across Germany Frankfurt.</w:t>
      </w:r>
    </w:p>
    <w:bookmarkEnd w:id="20"/>
    <w:bookmarkStart w:id="21" w:name="Xd429e387d1334adf251ed099a79c8ed439d211e"/>
    <w:p>
      <w:pPr>
        <w:pStyle w:val="Heading2"/>
      </w:pPr>
      <w:r>
        <w:t xml:space="preserve">Market Analysis: Dietitian Demand in Frankfurt</w:t>
      </w:r>
    </w:p>
    <w:p>
      <w:pPr>
        <w:pStyle w:val="FirstParagraph"/>
      </w:pPr>
      <w:r>
        <w:t xml:space="preserve">Frankfurt's market for specialized dietitian services has evolved beyond traditional weight management into comprehensive metabolic health solutions. The city's dense corporate landscape—with 13 Fortune 500 headquarters and 45,000 multinational employees—creates an ideal environment for our enterprise. Key findings include:</w:t>
      </w:r>
    </w:p>
    <w:p>
      <w:pPr>
        <w:numPr>
          <w:ilvl w:val="0"/>
          <w:numId w:val="1001"/>
        </w:numPr>
        <w:pStyle w:val="Compact"/>
      </w:pPr>
      <w:r>
        <w:rPr>
          <w:bCs/>
          <w:b/>
        </w:rPr>
        <w:t xml:space="preserve">Corporate Demand Surge:</w:t>
      </w:r>
      <w:r>
        <w:t xml:space="preserve"> </w:t>
      </w:r>
      <w:r>
        <w:t xml:space="preserve">78% of Frankfurt-based companies now offer dietitian consultations as part of employee wellness programs (2023 Hessian Business Survey).</w:t>
      </w:r>
    </w:p>
    <w:p>
      <w:pPr>
        <w:numPr>
          <w:ilvl w:val="0"/>
          <w:numId w:val="1001"/>
        </w:numPr>
        <w:pStyle w:val="Compact"/>
      </w:pPr>
      <w:r>
        <w:rPr>
          <w:bCs/>
          <w:b/>
        </w:rPr>
        <w:t xml:space="preserve">Demographic Shifts:</w:t>
      </w:r>
      <w:r>
        <w:t xml:space="preserve"> </w:t>
      </w:r>
      <w:r>
        <w:t xml:space="preserve">Over 65% of new Dietitian clients are aged 35-54, with high-income earners (€80k+ annual salary) representing the fastest-growing segment.</w:t>
      </w:r>
    </w:p>
    <w:p>
      <w:pPr>
        <w:numPr>
          <w:ilvl w:val="0"/>
          <w:numId w:val="1001"/>
        </w:numPr>
        <w:pStyle w:val="Compact"/>
      </w:pPr>
      <w:r>
        <w:rPr>
          <w:bCs/>
          <w:b/>
        </w:rPr>
        <w:t xml:space="preserve">Regulatory Catalyst:</w:t>
      </w:r>
      <w:r>
        <w:t xml:space="preserve"> </w:t>
      </w:r>
      <w:r>
        <w:t xml:space="preserve">Germany's updated Nutritional Guidelines (effective Jan 2023) mandate corporate health screenings, directly boosting demand for certified Dietitian partnerships.</w:t>
      </w:r>
    </w:p>
    <w:p>
      <w:pPr>
        <w:pStyle w:val="FirstParagraph"/>
      </w:pPr>
      <w:r>
        <w:t xml:space="preserve">This market momentum confirms Frankfurt as Germany's most promising hub for premium dietitian services, with a projected CAGR of 19.7% through 2026 (Statista Health Analytics).</w:t>
      </w:r>
    </w:p>
    <w:bookmarkEnd w:id="21"/>
    <w:bookmarkStart w:id="22" w:name="X8d9d9a0c1d0a1c76c72fdfada7a5c16f5ec31c8"/>
    <w:p>
      <w:pPr>
        <w:pStyle w:val="Heading2"/>
      </w:pPr>
      <w:r>
        <w:t xml:space="preserve">Sales Performance: Q3 2023 Frankfurt Results</w:t>
      </w:r>
    </w:p>
    <w:p>
      <w:pPr>
        <w:pStyle w:val="FirstParagraph"/>
      </w:pPr>
      <w:r>
        <w:t xml:space="preserve">Our Frankfurt-based Dietitian service unit achieved remarkable milestones during the third quarter, exceeding targets by 17%. Key metrics include:</w:t>
      </w:r>
    </w:p>
    <w:p>
      <w:pPr>
        <w:numPr>
          <w:ilvl w:val="0"/>
          <w:numId w:val="1002"/>
        </w:numPr>
        <w:pStyle w:val="Compact"/>
      </w:pPr>
      <w:r>
        <w:rPr>
          <w:bCs/>
          <w:b/>
        </w:rPr>
        <w:t xml:space="preserve">Revenue Growth:</w:t>
      </w:r>
      <w:r>
        <w:t xml:space="preserve"> </w:t>
      </w:r>
      <w:r>
        <w:t xml:space="preserve">€486,000 (up 34% YoY), with corporate contracts contributing 62% of total sales.</w:t>
      </w:r>
    </w:p>
    <w:p>
      <w:pPr>
        <w:numPr>
          <w:ilvl w:val="0"/>
          <w:numId w:val="1002"/>
        </w:numPr>
        <w:pStyle w:val="Compact"/>
      </w:pPr>
      <w:r>
        <w:rPr>
          <w:bCs/>
          <w:b/>
        </w:rPr>
        <w:t xml:space="preserve">Clinic Partnerships:</w:t>
      </w:r>
      <w:r>
        <w:t xml:space="preserve"> </w:t>
      </w:r>
      <w:r>
        <w:t xml:space="preserve">Added 12 new hospital-affiliated Dietitian contracts (including Frankfurt University Hospital and Klinikum der Goethe-Universität).</w:t>
      </w:r>
    </w:p>
    <w:p>
      <w:pPr>
        <w:numPr>
          <w:ilvl w:val="0"/>
          <w:numId w:val="1002"/>
        </w:numPr>
        <w:pStyle w:val="Compact"/>
      </w:pPr>
      <w:r>
        <w:rPr>
          <w:bCs/>
          <w:b/>
        </w:rPr>
        <w:t xml:space="preserve">Client Retention:</w:t>
      </w:r>
      <w:r>
        <w:t xml:space="preserve"> </w:t>
      </w:r>
      <w:r>
        <w:t xml:space="preserve">89% renewal rate among existing corporate clients—significantly above the German industry average of 74%.</w:t>
      </w:r>
    </w:p>
    <w:p>
      <w:pPr>
        <w:pStyle w:val="FirstParagraph"/>
      </w:pPr>
      <w:r>
        <w:t xml:space="preserve">A pivotal success was securing the exclusive Dietitian partnership with Deutsche Börse Group, a €2.3M annual contract serving 1,200 employees across their Frankfurt headquarters. This single deal represents a 28% increase in our average contract value within Germany Frankfurt operations.</w:t>
      </w:r>
    </w:p>
    <w:bookmarkEnd w:id="22"/>
    <w:bookmarkStart w:id="23" w:name="competitive-landscape-assessment"/>
    <w:p>
      <w:pPr>
        <w:pStyle w:val="Heading2"/>
      </w:pPr>
      <w:r>
        <w:t xml:space="preserve">Competitive Landscape Assessment</w:t>
      </w:r>
    </w:p>
    <w:p>
      <w:pPr>
        <w:pStyle w:val="FirstParagraph"/>
      </w:pPr>
      <w:r>
        <w:t xml:space="preserve">While the Dietitian market in Germany is competitive, our Frankfurt unit differentiates through three strategic advantages:</w:t>
      </w:r>
    </w:p>
    <w:p>
      <w:pPr>
        <w:numPr>
          <w:ilvl w:val="0"/>
          <w:numId w:val="1003"/>
        </w:numPr>
        <w:pStyle w:val="Compact"/>
      </w:pPr>
      <w:r>
        <w:rPr>
          <w:bCs/>
          <w:b/>
        </w:rPr>
        <w:t xml:space="preserve">Certification Alignment:</w:t>
      </w:r>
      <w:r>
        <w:t xml:space="preserve"> </w:t>
      </w:r>
      <w:r>
        <w:t xml:space="preserve">All 15 Dietitians on our Frankfurt team hold German Nutrition Society (DGE) certification and EU-wide dietary accreditation—meeting stringent local compliance requirements.</w:t>
      </w:r>
    </w:p>
    <w:p>
      <w:pPr>
        <w:numPr>
          <w:ilvl w:val="0"/>
          <w:numId w:val="1003"/>
        </w:numPr>
        <w:pStyle w:val="Compact"/>
      </w:pPr>
      <w:r>
        <w:rPr>
          <w:bCs/>
          <w:b/>
        </w:rPr>
        <w:t xml:space="preserve">Corporate Integration:</w:t>
      </w:r>
      <w:r>
        <w:t xml:space="preserve"> </w:t>
      </w:r>
      <w:r>
        <w:t xml:space="preserve">Our digital platform allows seamless HR system integration, a feature absent in 83% of competitors' offerings (2023 Market Survey).</w:t>
      </w:r>
    </w:p>
    <w:p>
      <w:pPr>
        <w:numPr>
          <w:ilvl w:val="0"/>
          <w:numId w:val="1003"/>
        </w:numPr>
        <w:pStyle w:val="Compact"/>
      </w:pPr>
      <w:r>
        <w:rPr>
          <w:bCs/>
          <w:b/>
        </w:rPr>
        <w:t xml:space="preserve">Cultural Adaptation:</w:t>
      </w:r>
      <w:r>
        <w:t xml:space="preserve"> </w:t>
      </w:r>
      <w:r>
        <w:t xml:space="preserve">Customized meal plans reflecting Frankfurt's multicultural population (147 nationalities in city) outperform generic solutions by 41% in client satisfaction scores.</w:t>
      </w:r>
    </w:p>
    <w:p>
      <w:pPr>
        <w:pStyle w:val="FirstParagraph"/>
      </w:pPr>
      <w:r>
        <w:t xml:space="preserve">Despite strong competition from Berlin-based players, our Frankfurt-specific market penetration (38% share of premium services) demonstrates superior local execution.</w:t>
      </w:r>
    </w:p>
    <w:bookmarkEnd w:id="23"/>
    <w:bookmarkStart w:id="24" w:name="challenges-strategic-imperatives"/>
    <w:p>
      <w:pPr>
        <w:pStyle w:val="Heading2"/>
      </w:pPr>
      <w:r>
        <w:t xml:space="preserve">Challenges &amp; Strategic Imperatives</w:t>
      </w:r>
    </w:p>
    <w:p>
      <w:pPr>
        <w:pStyle w:val="FirstParagraph"/>
      </w:pPr>
      <w:r>
        <w:t xml:space="preserve">Two critical challenges require immediate attention to sustain growth in Germany Frankfurt:</w:t>
      </w:r>
    </w:p>
    <w:p>
      <w:pPr>
        <w:numPr>
          <w:ilvl w:val="0"/>
          <w:numId w:val="1004"/>
        </w:numPr>
        <w:pStyle w:val="Compact"/>
      </w:pPr>
      <w:r>
        <w:rPr>
          <w:bCs/>
          <w:b/>
        </w:rPr>
        <w:t xml:space="preserve">Reimbursement Limitations:</w:t>
      </w:r>
      <w:r>
        <w:t xml:space="preserve"> </w:t>
      </w:r>
      <w:r>
        <w:t xml:space="preserve">Only 37% of Dietitian services are covered by statutory health insurance (GKV) for chronic conditions—limiting individual client acquisition. Solution: Develop targeted employer-sponsored packages where companies subsidize 70% of costs.</w:t>
      </w:r>
    </w:p>
    <w:p>
      <w:pPr>
        <w:numPr>
          <w:ilvl w:val="0"/>
          <w:numId w:val="1004"/>
        </w:numPr>
        <w:pStyle w:val="Compact"/>
      </w:pPr>
      <w:r>
        <w:rPr>
          <w:bCs/>
          <w:b/>
        </w:rPr>
        <w:t xml:space="preserve">Talent Shortage:</w:t>
      </w:r>
      <w:r>
        <w:t xml:space="preserve"> </w:t>
      </w:r>
      <w:r>
        <w:t xml:space="preserve">Frankfurt faces a 22% deficit in certified Dietitians versus demand (Hessian Health Ministry). Solution: Partner with Goethe University Frankfurt for specialized training programs.</w:t>
      </w:r>
    </w:p>
    <w:p>
      <w:pPr>
        <w:pStyle w:val="FirstParagraph"/>
      </w:pPr>
      <w:r>
        <w:t xml:space="preserve">Opportunity analysis reveals untapped potential in the diabetes management sector, where our existing German Diabetes Society partnerships position us to capture 15% of the €89M annual market.</w:t>
      </w:r>
    </w:p>
    <w:bookmarkEnd w:id="24"/>
    <w:bookmarkStart w:id="25" w:name="X5ef839b4a2e8bc7113ca906dab523c522c7a9a6"/>
    <w:p>
      <w:pPr>
        <w:pStyle w:val="Heading2"/>
      </w:pPr>
      <w:r>
        <w:t xml:space="preserve">Strategic Recommendations for Germany Frankfurt Expansion</w:t>
      </w:r>
    </w:p>
    <w:p>
      <w:pPr>
        <w:pStyle w:val="FirstParagraph"/>
      </w:pPr>
      <w:r>
        <w:t xml:space="preserve">To capitalize on Frankfurt's unique market dynamics, we recommend three immediate actions:</w:t>
      </w:r>
    </w:p>
    <w:p>
      <w:pPr>
        <w:numPr>
          <w:ilvl w:val="0"/>
          <w:numId w:val="1005"/>
        </w:numPr>
        <w:pStyle w:val="Compact"/>
      </w:pPr>
      <w:r>
        <w:rPr>
          <w:bCs/>
          <w:b/>
        </w:rPr>
        <w:t xml:space="preserve">Launch "Metabolic Health Passport":</w:t>
      </w:r>
      <w:r>
        <w:t xml:space="preserve"> </w:t>
      </w:r>
      <w:r>
        <w:t xml:space="preserve">A digital client dashboard integrating biometrics, meal tracking, and corporate wellness metrics—targeting Fortune 500 firms. Projected to generate €1.2M in incremental revenue by Q2 2024.</w:t>
      </w:r>
    </w:p>
    <w:p>
      <w:pPr>
        <w:numPr>
          <w:ilvl w:val="0"/>
          <w:numId w:val="1005"/>
        </w:numPr>
        <w:pStyle w:val="Compact"/>
      </w:pPr>
      <w:r>
        <w:rPr>
          <w:bCs/>
          <w:b/>
        </w:rPr>
        <w:t xml:space="preserve">Establish Frankfurt Dietitian Innovation Hub:</w:t>
      </w:r>
      <w:r>
        <w:t xml:space="preserve"> </w:t>
      </w:r>
      <w:r>
        <w:t xml:space="preserve">Co-locate with the upcoming Hesse Nutrition Science Campus (opening 2024) for R&amp;D collaboration with local universities, enhancing our credibility as a Germany Frankfurt industry leader.</w:t>
      </w:r>
    </w:p>
    <w:p>
      <w:pPr>
        <w:numPr>
          <w:ilvl w:val="0"/>
          <w:numId w:val="1005"/>
        </w:numPr>
        <w:pStyle w:val="Compact"/>
      </w:pPr>
      <w:r>
        <w:t xml:space="preserve">Develop a streamlined 90-day implementation framework for new corporate clients, reducing sales cycle time by 35% (current average: 142 days).</w:t>
      </w:r>
    </w:p>
    <w:bookmarkEnd w:id="25"/>
    <w:bookmarkStart w:id="26" w:name="X11d0642398cdbba158a9b3c98cfb401bab33cf0"/>
    <w:p>
      <w:pPr>
        <w:pStyle w:val="Heading2"/>
      </w:pPr>
      <w:r>
        <w:t xml:space="preserve">Financial Outlook &amp; Investment Justification</w:t>
      </w:r>
    </w:p>
    <w:p>
      <w:pPr>
        <w:pStyle w:val="FirstParagraph"/>
      </w:pPr>
      <w:r>
        <w:t xml:space="preserve">Our Frankfurt Dietitian division requires €650k in strategic investment (Q4 2023) for technology scaling and talent acquisition. This will yield a 7.8x ROI by Q3 2025 through:</w:t>
      </w:r>
    </w:p>
    <w:p>
      <w:pPr>
        <w:numPr>
          <w:ilvl w:val="0"/>
          <w:numId w:val="1006"/>
        </w:numPr>
        <w:pStyle w:val="Compact"/>
      </w:pPr>
      <w:r>
        <w:t xml:space="preserve">19% gross margin improvement via automated client management</w:t>
      </w:r>
    </w:p>
    <w:p>
      <w:pPr>
        <w:numPr>
          <w:ilvl w:val="0"/>
          <w:numId w:val="1006"/>
        </w:numPr>
        <w:pStyle w:val="Compact"/>
      </w:pPr>
      <w:r>
        <w:t xml:space="preserve">Expansion into new verticals: Financial services (43% market penetration), healthcare, and logistics sectors</w:t>
      </w:r>
    </w:p>
    <w:p>
      <w:pPr>
        <w:numPr>
          <w:ilvl w:val="0"/>
          <w:numId w:val="1006"/>
        </w:numPr>
        <w:pStyle w:val="Compact"/>
      </w:pPr>
      <w:r>
        <w:t xml:space="preserve">Establishment of Frankfurt as the German headquarters for our Pan-European Dietitian operations</w:t>
      </w:r>
    </w:p>
    <w:p>
      <w:pPr>
        <w:pStyle w:val="FirstParagraph"/>
      </w:pPr>
      <w:r>
        <w:t xml:space="preserve">The investment aligns with Germany's 2025 Nutrition Strategy, which prioritizes corporate health partnerships as a national priority. Failure to invest now risks ceding ground to Berlin-based competitors gaining 18% market share in Q3.</w:t>
      </w:r>
    </w:p>
    <w:bookmarkEnd w:id="26"/>
    <w:bookmarkStart w:id="27" w:name="X5053ab0e439ef8e206d82e3db4f403e19330b98"/>
    <w:p>
      <w:pPr>
        <w:pStyle w:val="Heading2"/>
      </w:pPr>
      <w:r>
        <w:t xml:space="preserve">Conclusion: Cementing Frankfurt as the Dietitian Hub</w:t>
      </w:r>
    </w:p>
    <w:p>
      <w:pPr>
        <w:pStyle w:val="FirstParagraph"/>
      </w:pPr>
      <w:r>
        <w:t xml:space="preserve">This Sales Report confirms that Germany Frankfurt has become the epicenter for premium dietitian services in Europe. Our strategic focus on corporate integration, cultural adaptation, and regulatory compliance has positioned us at the forefront of this high-growth segment. The convergence of Frankfurt's economic strength, demographic trends, and policy environment creates an unprecedented opportunity to scale our Dietitian service model nationally.</w:t>
      </w:r>
    </w:p>
    <w:p>
      <w:pPr>
        <w:pStyle w:val="BodyText"/>
      </w:pPr>
      <w:r>
        <w:t xml:space="preserve">As we move into 2024, Germany Frankfurt must remain the cornerstone of our growth strategy. We project that securing leadership in this market will generate €5.3M in annual revenue by 2026—representing 47% of our total German sales. The time to invest decisively in Dietitian services within Germany Frankfurt is now; the market dynamics are clear, the demand is proven, and the competitive advantage is achievable only through focused execution in this city.</w:t>
      </w:r>
    </w:p>
    <w:p>
      <w:pPr>
        <w:pStyle w:val="BodyText"/>
      </w:pPr>
      <w:r>
        <w:rPr>
          <w:bCs/>
          <w:b/>
        </w:rPr>
        <w:t xml:space="preserve">Next Steps:</w:t>
      </w:r>
      <w:r>
        <w:t xml:space="preserve"> </w:t>
      </w:r>
      <w:r>
        <w:t xml:space="preserve">Approve €650k Q4 investment by October 31st. Assign Frankfurt Market Lead to oversee implementation of Strategic Recommendations.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Germany Frankfurt</dc:title>
  <dc:creator/>
  <dc:language>en</dc:language>
  <cp:keywords/>
  <dcterms:created xsi:type="dcterms:W3CDTF">2026-07-23T20:09:10Z</dcterms:created>
  <dcterms:modified xsi:type="dcterms:W3CDTF">2026-07-23T20:09:10Z</dcterms:modified>
</cp:coreProperties>
</file>

<file path=docProps/custom.xml><?xml version="1.0" encoding="utf-8"?>
<Properties xmlns="http://schemas.openxmlformats.org/officeDocument/2006/custom-properties" xmlns:vt="http://schemas.openxmlformats.org/officeDocument/2006/docPropsVTypes"/>
</file>