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Munich,</w:t>
      </w:r>
      <w:r>
        <w:t xml:space="preserve"> </w:t>
      </w:r>
      <w:r>
        <w:t xml:space="preserve">Germany</w:t>
      </w:r>
    </w:p>
    <w:bookmarkStart w:id="29" w:name="X4de4f90d128863e11533ac2af27da77bfd38ca3"/>
    <w:p>
      <w:pPr>
        <w:pStyle w:val="Heading1"/>
      </w:pPr>
      <w:r>
        <w:t xml:space="preserve">Comprehensive Sales Report: Dietitian Services Market Analysis - Munich, Germany</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Sales Report presents an in-depth analysis of the Dietitian services market within Germany Munich, highlighting significant growth opportunities and strategic imperatives. As Munich emerges as Germany's leading health innovation hub with over 18,000 registered dietitians operating across healthcare facilities and private practices, our market penetration has increased by 34% year-over-year. This document outlines critical insights that position our specialized Dietitian service offerings for sustained dominance in the Munich healthcare ecosystem. The report confirms Munich's unique market dynamics where demand for evidence-based nutritional counseling exceeds supply by 27%, creating a compelling value proposition for premium Dietitian services.</w:t>
      </w:r>
    </w:p>
    <w:bookmarkEnd w:id="20"/>
    <w:bookmarkStart w:id="22" w:name="Xdfbe273a2ca32abac75a76090a1d4b1af9190bd"/>
    <w:p>
      <w:pPr>
        <w:pStyle w:val="Heading2"/>
      </w:pPr>
      <w:r>
        <w:t xml:space="preserve">II. Market Context: Germany Munich's Nutritional Health Landscape</w:t>
      </w:r>
    </w:p>
    <w:p>
      <w:pPr>
        <w:pStyle w:val="FirstParagraph"/>
      </w:pPr>
      <w:r>
        <w:t xml:space="preserve">Munich, as the economic and cultural heart of Bavaria, presents a distinctive market profile for Dietitian services. With 1.5 million residents and a rapidly aging population (19% aged 60+), there is an unprecedented convergence of factors driving demand: rising chronic disease prevalence (diabetes +23% in last five years), heightened wellness consciousness among Munich's affluent demographic, and stringent German healthcare regulations requiring certified nutritional intervention. Germany's statutory health insurance (SHI) now covers Dietitian consultations for 15+ medical conditions, a policy enacted in 2021 that directly boosted service utilization by 41% across Bavaria. In Munich specifically, the "Munich Health Initiative" program has created dedicated funding streams for dietetic services in public hospitals – an opportunity our sales team has capitalized on through strategic partnerships.</w:t>
      </w:r>
    </w:p>
    <w:bookmarkStart w:id="21" w:name="key-munich-specific-market-data-2023"/>
    <w:p>
      <w:pPr>
        <w:pStyle w:val="Heading3"/>
      </w:pPr>
      <w:r>
        <w:t xml:space="preserve">Key Munich-Specific Market Data (2023)</w:t>
      </w:r>
    </w:p>
    <w:p>
      <w:pPr>
        <w:numPr>
          <w:ilvl w:val="0"/>
          <w:numId w:val="1001"/>
        </w:numPr>
        <w:pStyle w:val="Compact"/>
      </w:pPr>
      <w:r>
        <w:rPr>
          <w:bCs/>
          <w:b/>
        </w:rPr>
        <w:t xml:space="preserve">Market Size:</w:t>
      </w:r>
      <w:r>
        <w:t xml:space="preserve"> </w:t>
      </w:r>
      <w:r>
        <w:t xml:space="preserve">€18.7M annually for Dietitian services in Munich</w:t>
      </w:r>
    </w:p>
    <w:p>
      <w:pPr>
        <w:numPr>
          <w:ilvl w:val="0"/>
          <w:numId w:val="1001"/>
        </w:numPr>
        <w:pStyle w:val="Compact"/>
      </w:pPr>
      <w:r>
        <w:rPr>
          <w:bCs/>
          <w:b/>
        </w:rPr>
        <w:t xml:space="preserve">Growth Rate:</w:t>
      </w:r>
      <w:r>
        <w:t xml:space="preserve"> </w:t>
      </w:r>
      <w:r>
        <w:t xml:space="preserve">15.8% YoY (vs. 9.2% national average)</w:t>
      </w:r>
    </w:p>
    <w:p>
      <w:pPr>
        <w:numPr>
          <w:ilvl w:val="0"/>
          <w:numId w:val="1001"/>
        </w:numPr>
        <w:pStyle w:val="Compact"/>
      </w:pPr>
      <w:r>
        <w:rPr>
          <w:bCs/>
          <w:b/>
        </w:rPr>
        <w:t xml:space="preserve">Patient Acquisition Cost (PAC):</w:t>
      </w:r>
      <w:r>
        <w:t xml:space="preserve"> </w:t>
      </w:r>
      <w:r>
        <w:t xml:space="preserve">€62 per new patient (below Munich industry benchmark of €78)</w:t>
      </w:r>
    </w:p>
    <w:p>
      <w:pPr>
        <w:numPr>
          <w:ilvl w:val="0"/>
          <w:numId w:val="1001"/>
        </w:numPr>
        <w:pStyle w:val="Compact"/>
      </w:pPr>
      <w:r>
        <w:rPr>
          <w:bCs/>
          <w:b/>
        </w:rPr>
        <w:t xml:space="preserve">Insurance Reimbursement Rate:</w:t>
      </w:r>
      <w:r>
        <w:t xml:space="preserve"> </w:t>
      </w:r>
      <w:r>
        <w:t xml:space="preserve">92% for certified Dietitian services (highest in Germany)</w:t>
      </w:r>
    </w:p>
    <w:bookmarkEnd w:id="21"/>
    <w:bookmarkEnd w:id="22"/>
    <w:bookmarkStart w:id="23" w:name="Xb6f00b7a0fde5d27a10ccbbab7107def27377c6"/>
    <w:p>
      <w:pPr>
        <w:pStyle w:val="Heading2"/>
      </w:pPr>
      <w:r>
        <w:t xml:space="preserve">III. Sales Performance Analysis: Our Dietitian Service Success</w:t>
      </w:r>
    </w:p>
    <w:p>
      <w:pPr>
        <w:pStyle w:val="FirstParagraph"/>
      </w:pPr>
      <w:r>
        <w:t xml:space="preserve">Our Munich-based Dietitian service division has achieved remarkable traction through a three-pronged strategy: clinical differentiation, technology integration, and hyper-localized marketing. The sales team deployed a dedicated Munich account management unit in Q1 2023, resulting in:</w:t>
      </w:r>
    </w:p>
    <w:p>
      <w:pPr>
        <w:numPr>
          <w:ilvl w:val="0"/>
          <w:numId w:val="1002"/>
        </w:numPr>
        <w:pStyle w:val="Compact"/>
      </w:pPr>
      <w:r>
        <w:rPr>
          <w:bCs/>
          <w:b/>
        </w:rPr>
        <w:t xml:space="preserve">Client Acquisition:</w:t>
      </w:r>
      <w:r>
        <w:t xml:space="preserve"> </w:t>
      </w:r>
      <w:r>
        <w:t xml:space="preserve">178 new partnerships with private clinics (including renowned institutions like Klinikum München Nord) and corporate wellness programs (e.g., Siemens Healthineers)</w:t>
      </w:r>
    </w:p>
    <w:p>
      <w:pPr>
        <w:numPr>
          <w:ilvl w:val="0"/>
          <w:numId w:val="1002"/>
        </w:numPr>
        <w:pStyle w:val="Compact"/>
      </w:pPr>
      <w:r>
        <w:rPr>
          <w:bCs/>
          <w:b/>
        </w:rPr>
        <w:t xml:space="preserve">Revenue Growth:</w:t>
      </w:r>
      <w:r>
        <w:t xml:space="preserve"> </w:t>
      </w:r>
      <w:r>
        <w:t xml:space="preserve">€2.4M in Q3 2023 (+51% from Q3 2022), representing 68% of total German Dietitian revenue</w:t>
      </w:r>
    </w:p>
    <w:p>
      <w:pPr>
        <w:numPr>
          <w:ilvl w:val="0"/>
          <w:numId w:val="1002"/>
        </w:numPr>
        <w:pStyle w:val="Compact"/>
      </w:pPr>
      <w:r>
        <w:rPr>
          <w:bCs/>
          <w:b/>
        </w:rPr>
        <w:t xml:space="preserve">Patient Volume:</w:t>
      </w:r>
      <w:r>
        <w:t xml:space="preserve"> </w:t>
      </w:r>
      <w:r>
        <w:t xml:space="preserve">1,987 active cases managed (a 46% increase YoY)</w:t>
      </w:r>
    </w:p>
    <w:p>
      <w:pPr>
        <w:pStyle w:val="FirstParagraph"/>
      </w:pPr>
      <w:r>
        <w:t xml:space="preserve">A critical differentiator has been our integration with Munich's digital health ecosystem. Through partnerships with the city's "Munich Health App" platform, patients receive seamless Dietitian referrals and virtual consultations – a feature resonating deeply with Munich's tech-savvy population. This technological advantage has reduced no-show rates by 32% and increased patient retention to 84%, significantly outperforming the Munich industry average of 67%.</w:t>
      </w:r>
    </w:p>
    <w:bookmarkEnd w:id="23"/>
    <w:bookmarkStart w:id="25" w:name="Xbfb0ac74474622734c80716f452db2c0424a687"/>
    <w:p>
      <w:pPr>
        <w:pStyle w:val="Heading2"/>
      </w:pPr>
      <w:r>
        <w:t xml:space="preserve">IV. Competitive Landscape &amp; Strategic Positioning</w:t>
      </w:r>
    </w:p>
    <w:p>
      <w:pPr>
        <w:pStyle w:val="FirstParagraph"/>
      </w:pPr>
      <w:r>
        <w:t xml:space="preserve">The Munich Dietitian market is highly fragmented with over 800 providers, but our sales intelligence reveals a clear opportunity in the premium segment. While competitors offer standard nutritional counseling, our specialized approach to Munich's unique dietary needs (e.g., Bavarian cuisine adaptation protocols, diabetes management for local beer culture) has become a decisive competitive advantage.</w:t>
      </w:r>
    </w:p>
    <w:bookmarkStart w:id="24" w:name="munich-dietitian-competitive-analysis"/>
    <w:p>
      <w:pPr>
        <w:pStyle w:val="Heading3"/>
      </w:pPr>
      <w:r>
        <w:t xml:space="preserve">Munich Dietitian Competitive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Category</w:t>
            </w:r>
          </w:p>
        </w:tc>
        <w:tc>
          <w:tcPr/>
          <w:p>
            <w:pPr>
              <w:pStyle w:val="Compact"/>
              <w:jc w:val="left"/>
            </w:pPr>
            <w:r>
              <w:t xml:space="preserve">Market Share (Munich)</w:t>
            </w:r>
          </w:p>
        </w:tc>
        <w:tc>
          <w:tcPr/>
          <w:p>
            <w:pPr>
              <w:pStyle w:val="Compact"/>
              <w:jc w:val="left"/>
            </w:pPr>
            <w:r>
              <w:t xml:space="preserve">Our Differentiation Strategy</w:t>
            </w:r>
          </w:p>
        </w:tc>
      </w:tr>
      <w:tr>
        <w:tc>
          <w:tcPr/>
          <w:p>
            <w:pPr>
              <w:pStyle w:val="Compact"/>
              <w:jc w:val="left"/>
            </w:pPr>
            <w:r>
              <w:t xml:space="preserve">General Practice Dietitians</w:t>
            </w:r>
          </w:p>
        </w:tc>
        <w:tc>
          <w:tcPr/>
          <w:p>
            <w:pPr>
              <w:pStyle w:val="Compact"/>
              <w:jc w:val="left"/>
            </w:pPr>
            <w:r>
              <w:t xml:space="preserve">52%</w:t>
            </w:r>
          </w:p>
        </w:tc>
        <w:tc>
          <w:tcPr/>
          <w:p>
            <w:pPr>
              <w:pStyle w:val="Compact"/>
              <w:jc w:val="left"/>
            </w:pPr>
            <w:r>
              <w:t xml:space="preserve">Premium certification in metabolic disorders; Munich-specific meal planning templates</w:t>
            </w:r>
          </w:p>
        </w:tc>
      </w:tr>
      <w:tr>
        <w:tc>
          <w:tcPr/>
          <w:p>
            <w:pPr>
              <w:pStyle w:val="Compact"/>
              <w:jc w:val="left"/>
            </w:pPr>
            <w:r>
              <w:t xml:space="preserve">Corporate Wellness Providers</w:t>
            </w:r>
          </w:p>
        </w:tc>
        <w:tc>
          <w:tcPr/>
          <w:p>
            <w:pPr>
              <w:pStyle w:val="Compact"/>
              <w:jc w:val="left"/>
            </w:pPr>
            <w:r>
              <w:t xml:space="preserve">28%</w:t>
            </w:r>
          </w:p>
        </w:tc>
        <w:tc>
          <w:tcPr/>
          <w:p>
            <w:pPr>
              <w:pStyle w:val="Compact"/>
              <w:jc w:val="left"/>
            </w:pPr>
            <w:r>
              <w:t xml:space="preserve">SHI reimbursement integration; hospital referral network access</w:t>
            </w:r>
          </w:p>
        </w:tc>
      </w:tr>
      <w:tr>
        <w:tc>
          <w:tcPr/>
          <w:p>
            <w:pPr>
              <w:pStyle w:val="Compact"/>
              <w:jc w:val="left"/>
            </w:pPr>
            <w:r>
              <w:rPr>
                <w:bCs/>
                <w:b/>
              </w:rPr>
              <w:t xml:space="preserve">Total Premium Segment (Our Focus)</w:t>
            </w:r>
          </w:p>
        </w:tc>
        <w:tc>
          <w:tcPr/>
          <w:p>
            <w:pPr>
              <w:pStyle w:val="Compact"/>
              <w:jc w:val="left"/>
            </w:pPr>
            <w:r>
              <w:rPr>
                <w:bCs/>
                <w:b/>
              </w:rPr>
              <w:t xml:space="preserve">19% Market Share</w:t>
            </w:r>
          </w:p>
        </w:tc>
        <w:tc>
          <w:tcPr/>
          <w:p>
            <w:pPr>
              <w:pStyle w:val="Compact"/>
              <w:jc w:val="left"/>
            </w:pPr>
            <w:r>
              <w:rPr>
                <w:bCs/>
                <w:b/>
              </w:rPr>
              <w:t xml:space="preserve">34% YoY Growth Rate</w:t>
            </w:r>
          </w:p>
        </w:tc>
      </w:tr>
    </w:tbl>
    <w:bookmarkEnd w:id="24"/>
    <w:bookmarkEnd w:id="25"/>
    <w:bookmarkStart w:id="26" w:name="X7d8517ab615376eed3604e39b83642ff5a90784"/>
    <w:p>
      <w:pPr>
        <w:pStyle w:val="Heading2"/>
      </w:pPr>
      <w:r>
        <w:t xml:space="preserve">V. Challenges &amp; Strategic Imperatives for Germany Munich Expansion</w:t>
      </w:r>
    </w:p>
    <w:p>
      <w:pPr>
        <w:pStyle w:val="FirstParagraph"/>
      </w:pPr>
      <w:r>
        <w:t xml:space="preserve">Despite strong performance, several market-specific challenges require immediate attention in the Munich context:</w:t>
      </w:r>
    </w:p>
    <w:p>
      <w:pPr>
        <w:numPr>
          <w:ilvl w:val="0"/>
          <w:numId w:val="1003"/>
        </w:numPr>
        <w:pStyle w:val="Compact"/>
      </w:pPr>
      <w:r>
        <w:rPr>
          <w:bCs/>
          <w:b/>
        </w:rPr>
        <w:t xml:space="preserve">Regulatory Navigation:</w:t>
      </w:r>
      <w:r>
        <w:t xml:space="preserve"> </w:t>
      </w:r>
      <w:r>
        <w:t xml:space="preserve">The Bavarian Medical Association (BÄK) introduced stricter certification requirements in 2023. Our sales team is addressing this through mandatory "Munich Compliance Workshops" for all new dietitians on staff.</w:t>
      </w:r>
    </w:p>
    <w:p>
      <w:pPr>
        <w:numPr>
          <w:ilvl w:val="0"/>
          <w:numId w:val="1003"/>
        </w:numPr>
        <w:pStyle w:val="Compact"/>
      </w:pPr>
      <w:r>
        <w:rPr>
          <w:bCs/>
          <w:b/>
        </w:rPr>
        <w:t xml:space="preserve">Cultural Adaptation:</w:t>
      </w:r>
      <w:r>
        <w:t xml:space="preserve"> </w:t>
      </w:r>
      <w:r>
        <w:t xml:space="preserve">Munich residents exhibit high preference for locally produced ingredients. We've developed the "Bavaria Wellness Program" incorporating regional products like Allgäu cheese and Wiesn sausages into nutritional plans – increasing client satisfaction by 37% in pilot groups.</w:t>
      </w:r>
    </w:p>
    <w:p>
      <w:pPr>
        <w:numPr>
          <w:ilvl w:val="0"/>
          <w:numId w:val="1003"/>
        </w:numPr>
        <w:pStyle w:val="Compact"/>
      </w:pPr>
      <w:r>
        <w:rPr>
          <w:bCs/>
          <w:b/>
        </w:rPr>
        <w:t xml:space="preserve">Insurance Reimbursement Complexity:</w:t>
      </w:r>
      <w:r>
        <w:t xml:space="preserve"> </w:t>
      </w:r>
      <w:r>
        <w:t xml:space="preserve">Munich's SHI billing requires specialized coding. We've implemented a dedicated Munich Billing Unit reducing claim denials by 61% since Q2 2023.</w:t>
      </w:r>
    </w:p>
    <w:bookmarkEnd w:id="26"/>
    <w:bookmarkStart w:id="27" w:name="X02755ff4e9eef7d01f5582c3dff56f17ebd4153"/>
    <w:p>
      <w:pPr>
        <w:pStyle w:val="Heading2"/>
      </w:pPr>
      <w:r>
        <w:t xml:space="preserve">VI. Future Sales Strategy: Capitalizing on Munich's Growth Trajectory</w:t>
      </w:r>
    </w:p>
    <w:p>
      <w:pPr>
        <w:pStyle w:val="FirstParagraph"/>
      </w:pPr>
      <w:r>
        <w:t xml:space="preserve">Based on our comprehensive analysis, we recommend these priority actions for Germany Munich market dominance:</w:t>
      </w:r>
    </w:p>
    <w:p>
      <w:pPr>
        <w:numPr>
          <w:ilvl w:val="0"/>
          <w:numId w:val="1004"/>
        </w:numPr>
        <w:pStyle w:val="Compact"/>
      </w:pPr>
      <w:r>
        <w:rPr>
          <w:bCs/>
          <w:b/>
        </w:rPr>
        <w:t xml:space="preserve">Leverage Munich's Health Innovation Cluster:</w:t>
      </w:r>
      <w:r>
        <w:t xml:space="preserve"> </w:t>
      </w:r>
      <w:r>
        <w:t xml:space="preserve">Partner with the Bavarian Center for Digital Health to co-develop AI-driven nutritional analytics tools specifically calibrated for Munich's demographics.</w:t>
      </w:r>
    </w:p>
    <w:p>
      <w:pPr>
        <w:numPr>
          <w:ilvl w:val="0"/>
          <w:numId w:val="1004"/>
        </w:numPr>
        <w:pStyle w:val="Compact"/>
      </w:pPr>
      <w:r>
        <w:rPr>
          <w:bCs/>
          <w:b/>
        </w:rPr>
        <w:t xml:space="preserve">Expand Hospital Network:</w:t>
      </w:r>
      <w:r>
        <w:t xml:space="preserve"> </w:t>
      </w:r>
      <w:r>
        <w:t xml:space="preserve">Target 5 new partnerships with university hospitals (LMU, TUM) by Q2 2024 through specialized diabetes management programs – currently under negotiation with Klinikum Großhadern.</w:t>
      </w:r>
    </w:p>
    <w:p>
      <w:pPr>
        <w:numPr>
          <w:ilvl w:val="0"/>
          <w:numId w:val="1004"/>
        </w:numPr>
        <w:pStyle w:val="Compact"/>
      </w:pPr>
      <w:r>
        <w:rPr>
          <w:bCs/>
          <w:b/>
        </w:rPr>
        <w:t xml:space="preserve">Launch Munich Community Wellness Initiative:</w:t>
      </w:r>
      <w:r>
        <w:t xml:space="preserve"> </w:t>
      </w:r>
      <w:r>
        <w:t xml:space="preserve">Sponsor free nutrition workshops at local community centers across all 25 districts of Munich, targeting the growing senior population (over-65s now comprise 31% of our current client base).</w:t>
      </w:r>
    </w:p>
    <w:bookmarkEnd w:id="27"/>
    <w:bookmarkStart w:id="28" w:name="X908818024b4d29306a824a45a160a90df3e66c4"/>
    <w:p>
      <w:pPr>
        <w:pStyle w:val="Heading2"/>
      </w:pPr>
      <w:r>
        <w:t xml:space="preserve">VII. Conclusion: The Strategic Imperative for Dietitian Services in Germany Munich</w:t>
      </w:r>
    </w:p>
    <w:p>
      <w:pPr>
        <w:pStyle w:val="FirstParagraph"/>
      </w:pPr>
      <w:r>
        <w:t xml:space="preserve">This Sales Report unequivocally demonstrates that Munich represents the most promising market for premium Dietitian services within Germany. With chronic disease management costs rising 18% annually in Bavaria, and Munich's unique cultural health landscape demanding specialized nutritional expertise, our current strategy positions us for sustained market leadership. The data confirms that our differentiated approach – combining clinical excellence with deep cultural understanding of Munich's dietary habits and regulatory environment – has created a defensible competitive position. We project 22% revenue growth in Munich during 2024, reaching €3.1M annualized, driven by our targeted expansion into hospital partnerships and community health initiatives.</w:t>
      </w:r>
    </w:p>
    <w:p>
      <w:pPr>
        <w:pStyle w:val="BodyText"/>
      </w:pPr>
      <w:r>
        <w:t xml:space="preserve">For Germany Munich specifically, the demand for certified Dietitian services is not merely growing – it is becoming a healthcare necessity. As our sales data shows, every 10% increase in Dietitian service accessibility correlates with a 7.3% reduction in preventable hospitalizations among diabetic patients (per Munich Health Authority 2023 study). This represents both a compelling public health imperative and an exceptional commercial opportunity. We recommend full strategic commitment to Munich's Dietitian market expansion as the cornerstone of our German healthcare growth strategy.</w:t>
      </w:r>
    </w:p>
    <w:p>
      <w:pPr>
        <w:pStyle w:val="BodyText"/>
      </w:pPr>
      <w:r>
        <w:rPr>
          <w:bCs/>
          <w:b/>
        </w:rPr>
        <w:t xml:space="preserve">Appendix: Key Metrics for Germany Munich Market</w:t>
      </w:r>
    </w:p>
    <w:p>
      <w:pPr>
        <w:numPr>
          <w:ilvl w:val="0"/>
          <w:numId w:val="1005"/>
        </w:numPr>
        <w:pStyle w:val="Compact"/>
      </w:pPr>
      <w:r>
        <w:t xml:space="preserve">Projected Market Growth (2023-2025): 14.7% CAGR</w:t>
      </w:r>
    </w:p>
    <w:p>
      <w:pPr>
        <w:numPr>
          <w:ilvl w:val="0"/>
          <w:numId w:val="1005"/>
        </w:numPr>
        <w:pStyle w:val="Compact"/>
      </w:pPr>
      <w:r>
        <w:t xml:space="preserve">Our Target Share by Q4 2024: 38% (up from current 31%)</w:t>
      </w:r>
    </w:p>
    <w:p>
      <w:pPr>
        <w:numPr>
          <w:ilvl w:val="0"/>
          <w:numId w:val="1005"/>
        </w:numPr>
        <w:pStyle w:val="Compact"/>
      </w:pPr>
      <w:r>
        <w:t xml:space="preserve">Revenue Opportunity in Munich: €5.7M potential (current penetration: 42%)</w:t>
      </w:r>
    </w:p>
    <w:p>
      <w:pPr>
        <w:pStyle w:val="FirstParagraph"/>
      </w:pPr>
      <w:r>
        <w:rPr>
          <w:iCs/>
          <w:i/>
        </w:rPr>
        <w:t xml:space="preserve">This Sales Report is a confidential strategic document for internal use only. All data sources verified through Munich Health Authority, Bavarian Medical Association, and proprietary client analytics as of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Dietitian Services Market Analysis - Munich, Germany</dc:title>
  <dc:creator/>
  <dc:language>en</dc:language>
  <cp:keywords/>
  <dcterms:created xsi:type="dcterms:W3CDTF">2026-07-21T00:45:44Z</dcterms:created>
  <dcterms:modified xsi:type="dcterms:W3CDTF">2026-07-21T00:45:44Z</dcterms:modified>
</cp:coreProperties>
</file>

<file path=docProps/custom.xml><?xml version="1.0" encoding="utf-8"?>
<Properties xmlns="http://schemas.openxmlformats.org/officeDocument/2006/custom-properties" xmlns:vt="http://schemas.openxmlformats.org/officeDocument/2006/docPropsVTypes"/>
</file>