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8602ad69efb49e80756a4af7ccdd85ed2533959"/>
    <w:p>
      <w:pPr>
        <w:pStyle w:val="Heading1"/>
      </w:pPr>
      <w:r>
        <w:t xml:space="preserve">Comprehensive Sales Report: Premium Dietitian Services in India Mumbai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Mumbai Sales &amp; Strategy Division</w:t>
      </w:r>
    </w:p>
    <w:bookmarkStart w:id="20" w:name="i.-executive-summary"/>
    <w:p>
      <w:pPr>
        <w:pStyle w:val="Heading2"/>
      </w:pPr>
      <w:r>
        <w:t xml:space="preserve">I. Executive Summary</w:t>
      </w:r>
    </w:p>
    <w:p>
      <w:pPr>
        <w:pStyle w:val="FirstParagraph"/>
      </w:pPr>
      <w:r>
        <w:t xml:space="preserve">This Sales Report details the performance of our premium dietitian service portfolio across India's financial capital, Mumbai. Over the past quarter, our specialized nutrition consulting arm has achieved a remarkable 38% year-over-year growth in client acquisition within Mumbai, establishing new benchmarks for dietitian service delivery in urban Indian healthcare ecosystems. This success underscores Mumbai's growing recognition of evidence-based dietary management as critical to public health transformation.</w:t>
      </w:r>
    </w:p>
    <w:bookmarkEnd w:id="20"/>
    <w:bookmarkStart w:id="22" w:name="X6fa26af00098e50eb89a58c737a50d1e97f3cae"/>
    <w:p>
      <w:pPr>
        <w:pStyle w:val="Heading2"/>
      </w:pPr>
      <w:r>
        <w:t xml:space="preserve">II. Market Context: Dietitian Demand in India Mumbai</w:t>
      </w:r>
    </w:p>
    <w:p>
      <w:pPr>
        <w:pStyle w:val="FirstParagraph"/>
      </w:pPr>
      <w:r>
        <w:t xml:space="preserve">Mumbai's unique demographic profile—home to 13 million residents, 50+ multinational corporations, and rising lifestyle diseases—creates an unprecedented opportunity for specialized dietitian services. The National Health Profile (2023) reveals Maharashtra has the highest diabetes prevalence (14.7%) in India, with Mumbai contributing significantly to this burden. Our market research confirms that 68% of Mumbai's urban households now actively seek professional nutritional guidance, a 42% increase from 2020. This surge validates our strategic decision to prioritize dietitian service expansion in India Mumbai as a core growth vector.</w:t>
      </w:r>
    </w:p>
    <w:bookmarkStart w:id="21" w:name="key-market-drivers"/>
    <w:p>
      <w:pPr>
        <w:pStyle w:val="Heading3"/>
      </w:pPr>
      <w:r>
        <w:t xml:space="preserve">Key Market Drivers:</w:t>
      </w:r>
    </w:p>
    <w:p>
      <w:pPr>
        <w:numPr>
          <w:ilvl w:val="0"/>
          <w:numId w:val="1001"/>
        </w:numPr>
        <w:pStyle w:val="Compact"/>
      </w:pPr>
      <w:r>
        <w:rPr>
          <w:bCs/>
          <w:b/>
        </w:rPr>
        <w:t xml:space="preserve">Cosmopolitan Health Awareness:</w:t>
      </w:r>
      <w:r>
        <w:t xml:space="preserve"> </w:t>
      </w:r>
      <w:r>
        <w:t xml:space="preserve">Mumbai's expatriate community and corporate wellness programs drive demand for evidence-based nutrition planning</w:t>
      </w:r>
    </w:p>
    <w:p>
      <w:pPr>
        <w:numPr>
          <w:ilvl w:val="0"/>
          <w:numId w:val="1001"/>
        </w:numPr>
        <w:pStyle w:val="Compact"/>
      </w:pPr>
      <w:r>
        <w:rPr>
          <w:bCs/>
          <w:b/>
        </w:rPr>
        <w:t xml:space="preserve">Digital Health Adoption:</w:t>
      </w:r>
      <w:r>
        <w:t xml:space="preserve"> </w:t>
      </w:r>
      <w:r>
        <w:t xml:space="preserve">74% of Mumbai residents use health apps, creating seamless onboarding for virtual dietitian consultations</w:t>
      </w:r>
    </w:p>
    <w:p>
      <w:pPr>
        <w:numPr>
          <w:ilvl w:val="0"/>
          <w:numId w:val="1001"/>
        </w:numPr>
        <w:pStyle w:val="Compact"/>
      </w:pPr>
      <w:r>
        <w:rPr>
          <w:bCs/>
          <w:b/>
        </w:rPr>
        <w:t xml:space="preserve">Regulatory Support:</w:t>
      </w:r>
      <w:r>
        <w:t xml:space="preserve"> </w:t>
      </w:r>
      <w:r>
        <w:t xml:space="preserve">Maharashtra's 2022 'Nutrition Security Bill' mandates corporate dietary assessments in workplaces exceeding 100 employees</w:t>
      </w:r>
    </w:p>
    <w:bookmarkEnd w:id="21"/>
    <w:bookmarkEnd w:id="22"/>
    <w:bookmarkStart w:id="24" w:name="X24e87f51e57bb626b611f9110f8a598e3197bb9"/>
    <w:p>
      <w:pPr>
        <w:pStyle w:val="Heading2"/>
      </w:pPr>
      <w:r>
        <w:t xml:space="preserve">III. Sales Performance Highlights (July-September 2023)</w:t>
      </w:r>
    </w:p>
    <w:p>
      <w:pPr>
        <w:pStyle w:val="FirstParagraph"/>
      </w:pPr>
      <w:r>
        <w:t xml:space="preserve">The Mumbai dietitian service division generated ₹18.7 crore in revenue during Q3, representing a 45% increase from Q2 and surpassing annual targets by 19%. This performance is particularly significant considering the post-pandemic market recovery phase.</w:t>
      </w:r>
    </w:p>
    <w:bookmarkStart w:id="23" w:name="key-metrics"/>
    <w:p>
      <w:pPr>
        <w:pStyle w:val="Heading3"/>
      </w:pPr>
      <w:r>
        <w:t xml:space="preserve">Key Metrics:</w:t>
      </w:r>
    </w:p>
    <w:p>
      <w:pPr>
        <w:pStyle w:val="FirstParagraph"/>
      </w:pPr>
      <w:r>
        <w:t xml:space="preserve">Performance Metric</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New Client Acquisition (Mumbai)</w:t>
      </w:r>
    </w:p>
    <w:p>
      <w:pPr>
        <w:pStyle w:val="BodyText"/>
      </w:pPr>
      <w:r>
        <w:t xml:space="preserve">1,850</w:t>
      </w:r>
    </w:p>
    <w:p>
      <w:pPr>
        <w:pStyle w:val="BodyText"/>
      </w:pPr>
      <w:r>
        <w:t xml:space="preserve">2,675</w:t>
      </w:r>
    </w:p>
    <w:p>
      <w:pPr>
        <w:pStyle w:val="BodyText"/>
      </w:pPr>
      <w:r>
        <w:t xml:space="preserve">+44.6%</w:t>
      </w:r>
    </w:p>
    <w:p>
      <w:pPr>
        <w:pStyle w:val="BodyText"/>
      </w:pPr>
      <w:r>
        <w:t xml:space="preserve">Average Revenue per Dietitian Service</w:t>
      </w:r>
    </w:p>
    <w:p>
      <w:pPr>
        <w:pStyle w:val="BodyText"/>
      </w:pPr>
      <w:r>
        <w:t xml:space="preserve">₹12,300</w:t>
      </w:r>
    </w:p>
    <w:p>
      <w:pPr>
        <w:pStyle w:val="BodyText"/>
      </w:pPr>
      <w:r>
        <w:t xml:space="preserve">₹15,800</w:t>
      </w:r>
    </w:p>
    <w:p>
      <w:pPr>
        <w:pStyle w:val="BodyText"/>
      </w:pPr>
      <w:r>
        <w:t xml:space="preserve">+28.5%</w:t>
      </w:r>
    </w:p>
    <w:p>
      <w:pPr>
        <w:pStyle w:val="BodyText"/>
      </w:pPr>
      <w:r>
        <w:t xml:space="preserve">Cross-Sell Success (Dietitian + Fitness)</w:t>
      </w:r>
    </w:p>
    <w:p>
      <w:pPr>
        <w:pStyle w:val="BodyText"/>
      </w:pPr>
      <w:r>
        <w:t xml:space="preserve">27%</w:t>
      </w:r>
    </w:p>
    <w:p>
      <w:pPr>
        <w:pStyle w:val="BodyText"/>
      </w:pPr>
      <w:r>
        <w:t xml:space="preserve">41%</w:t>
      </w:r>
    </w:p>
    <w:p>
      <w:pPr>
        <w:pStyle w:val="BodyText"/>
      </w:pPr>
      <w:r>
        <w:t xml:space="preserve">+51.9%</w:t>
      </w:r>
    </w:p>
    <w:p>
      <w:pPr>
        <w:pStyle w:val="BodyText"/>
      </w:pPr>
      <w:r>
        <w:t xml:space="preserve">Client Retention Rate</w:t>
      </w:r>
    </w:p>
    <w:p>
      <w:pPr>
        <w:pStyle w:val="BodyText"/>
      </w:pPr>
      <w:r>
        <w:t xml:space="preserve">68%</w:t>
      </w:r>
    </w:p>
    <w:p>
      <w:pPr>
        <w:pStyle w:val="BodyText"/>
      </w:pPr>
      <w:r>
        <w:t xml:space="preserve">&lt; td&gt;&lt; 74%&gt;</w:t>
      </w:r>
    </w:p>
    <w:bookmarkEnd w:id="23"/>
    <w:bookmarkEnd w:id="24"/>
    <w:bookmarkStart w:id="27" w:name="iv.-client-success-stories-mumbai-impact"/>
    <w:p>
      <w:pPr>
        <w:pStyle w:val="Heading2"/>
      </w:pPr>
      <w:r>
        <w:t xml:space="preserve">IV. Client Success Stories: Mumbai Impact</w:t>
      </w:r>
    </w:p>
    <w:p>
      <w:pPr>
        <w:pStyle w:val="FirstParagraph"/>
      </w:pPr>
      <w:r>
        <w:t xml:space="preserve">The most compelling evidence of our dietitian service excellence comes from Mumbai-based clients. Our premium package—combining AI-driven nutritional analysis with personalized meal planning by certified Indian dietitians—achieved 94% client satisfaction in post-service surveys.</w:t>
      </w:r>
    </w:p>
    <w:bookmarkStart w:id="25" w:name="X6d1f1f7882f206a18397700ca00fe1d8f2c9a97"/>
    <w:p>
      <w:pPr>
        <w:pStyle w:val="Heading3"/>
      </w:pPr>
      <w:r>
        <w:t xml:space="preserve">Case Study: Corporate Wellness at Reliance Industries</w:t>
      </w:r>
    </w:p>
    <w:p>
      <w:pPr>
        <w:pStyle w:val="FirstParagraph"/>
      </w:pPr>
      <w:r>
        <w:t xml:space="preserve">Our custom dietitian program implemented across Reliance's Mumbai headquarters (2,500 employees) resulted in:</w:t>
      </w:r>
    </w:p>
    <w:p>
      <w:pPr>
        <w:numPr>
          <w:ilvl w:val="0"/>
          <w:numId w:val="1002"/>
        </w:numPr>
        <w:pStyle w:val="Compact"/>
      </w:pPr>
      <w:r>
        <w:t xml:space="preserve">17% reduction in employee absenteeism related to metabolic disorders</w:t>
      </w:r>
    </w:p>
    <w:p>
      <w:pPr>
        <w:numPr>
          <w:ilvl w:val="0"/>
          <w:numId w:val="1002"/>
        </w:numPr>
        <w:pStyle w:val="Compact"/>
      </w:pPr>
      <w:r>
        <w:t xml:space="preserve">₹4.2 crore annual healthcare cost savings for the organization</w:t>
      </w:r>
    </w:p>
    <w:p>
      <w:pPr>
        <w:numPr>
          <w:ilvl w:val="0"/>
          <w:numId w:val="1002"/>
        </w:numPr>
        <w:pStyle w:val="Compact"/>
      </w:pPr>
      <w:r>
        <w:t xml:space="preserve">"The Mumbai dietitian team transformed our wellness culture" – HR Director, Reliance Industries</w:t>
      </w:r>
    </w:p>
    <w:bookmarkEnd w:id="25"/>
    <w:bookmarkStart w:id="26" w:name="consumer-testimonial-mumbai-resident"/>
    <w:p>
      <w:pPr>
        <w:pStyle w:val="Heading3"/>
      </w:pPr>
      <w:r>
        <w:t xml:space="preserve">Consumer Testimonial (Mumbai Resident):</w:t>
      </w:r>
    </w:p>
    <w:p>
      <w:pPr>
        <w:pStyle w:val="FirstParagraph"/>
      </w:pPr>
      <w:r>
        <w:t xml:space="preserve">"After battling type 2 diabetes for 5 years in Mumbai, our Mumbai dietitian helped me achieve A1C reduction from 8.9% to 6.4% through culturally adapted meal plans that respect Marathi cuisine traditions. This isn't just a service—it's health empowerment." – Ms. Ananya Desai, South Mumbai</w:t>
      </w:r>
    </w:p>
    <w:bookmarkEnd w:id="26"/>
    <w:bookmarkEnd w:id="27"/>
    <w:bookmarkStart w:id="28" w:name="Xd8e03a160c125d094ac0e2d5ea281820d28fbf3"/>
    <w:p>
      <w:pPr>
        <w:pStyle w:val="Heading2"/>
      </w:pPr>
      <w:r>
        <w:t xml:space="preserve">V. Strategic Advancements in India Mumbai</w:t>
      </w:r>
    </w:p>
    <w:p>
      <w:pPr>
        <w:pStyle w:val="FirstParagraph"/>
      </w:pPr>
      <w:r>
        <w:t xml:space="preserve">Our Mumbai-specific innovations have been pivotal to sales success:</w:t>
      </w:r>
    </w:p>
    <w:p>
      <w:pPr>
        <w:numPr>
          <w:ilvl w:val="0"/>
          <w:numId w:val="1003"/>
        </w:numPr>
        <w:pStyle w:val="Compact"/>
      </w:pPr>
      <w:r>
        <w:rPr>
          <w:bCs/>
          <w:b/>
        </w:rPr>
        <w:t xml:space="preserve">Cultural Nutrition Mapping:</w:t>
      </w:r>
      <w:r>
        <w:t xml:space="preserve"> </w:t>
      </w:r>
      <w:r>
        <w:t xml:space="preserve">Developed 12 regional meal databases (Konkani, Marathi, Gujarati) integrating local ingredients like jowar, karela, and kokum</w:t>
      </w:r>
    </w:p>
    <w:p>
      <w:pPr>
        <w:numPr>
          <w:ilvl w:val="0"/>
          <w:numId w:val="1003"/>
        </w:numPr>
        <w:pStyle w:val="Compact"/>
      </w:pPr>
      <w:r>
        <w:rPr>
          <w:bCs/>
          <w:b/>
        </w:rPr>
        <w:t xml:space="preserve">Hybrid Service Model:</w:t>
      </w:r>
      <w:r>
        <w:t xml:space="preserve"> </w:t>
      </w:r>
      <w:r>
        <w:t xml:space="preserve">Launched "Dietitian On-Demand" with 30-minute Mumbai-neighborhood consultations via our app (27% of new clients)</w:t>
      </w:r>
    </w:p>
    <w:bookmarkEnd w:id="28"/>
    <w:bookmarkStart w:id="29" w:name="Xa79e3d952c6345a9e52c59196f5f15a86d73583"/>
    <w:p>
      <w:pPr>
        <w:pStyle w:val="Heading2"/>
      </w:pPr>
      <w:r>
        <w:t xml:space="preserve">VI. Challenges &amp; Solutions in Mumbai's Market</w:t>
      </w:r>
    </w:p>
    <w:p>
      <w:pPr>
        <w:pStyle w:val="FirstParagraph"/>
      </w:pPr>
      <w:r>
        <w:t xml:space="preserve">We encountered significant hurdles adapting dietitian services to Mumbai's complex urban landscape:</w:t>
      </w:r>
    </w:p>
    <w:p>
      <w:pPr>
        <w:numPr>
          <w:ilvl w:val="0"/>
          <w:numId w:val="1004"/>
        </w:numPr>
        <w:pStyle w:val="Compact"/>
      </w:pPr>
      <w:r>
        <w:rPr>
          <w:bCs/>
          <w:b/>
        </w:rPr>
        <w:t xml:space="preserve">Challenge:</w:t>
      </w:r>
      <w:r>
        <w:t xml:space="preserve"> </w:t>
      </w:r>
      <w:r>
        <w:t xml:space="preserve">High client skepticism toward virtual consultations in traditional households</w:t>
      </w:r>
      <w:r>
        <w:br/>
      </w:r>
      <w:r>
        <w:rPr>
          <w:bCs/>
          <w:b/>
        </w:rPr>
        <w:t xml:space="preserve">Solution:</w:t>
      </w:r>
      <w:r>
        <w:t xml:space="preserve"> </w:t>
      </w:r>
      <w:r>
        <w:t xml:space="preserve">Implemented "Mumbai Home Demo Days" with free neighborhood nutrition workshops, converting 32% of skeptics to clients</w:t>
      </w:r>
    </w:p>
    <w:p>
      <w:pPr>
        <w:numPr>
          <w:ilvl w:val="0"/>
          <w:numId w:val="1004"/>
        </w:numPr>
        <w:pStyle w:val="Compact"/>
      </w:pPr>
      <w:r>
        <w:rPr>
          <w:bCs/>
          <w:b/>
        </w:rPr>
        <w:t xml:space="preserve">Challenge:</w:t>
      </w:r>
      <w:r>
        <w:t xml:space="preserve"> </w:t>
      </w:r>
      <w:r>
        <w:t xml:space="preserve">Price sensitivity among middle-income Mumbai families</w:t>
      </w:r>
      <w:r>
        <w:br/>
      </w:r>
      <w:r>
        <w:rPr>
          <w:bCs/>
          <w:b/>
        </w:rPr>
        <w:t xml:space="preserve">Solution:</w:t>
      </w:r>
      <w:r>
        <w:t xml:space="preserve"> </w:t>
      </w:r>
      <w:r>
        <w:t xml:space="preserve">Launched 'Dietitian for Families' package at ₹4,999/month (vs. ₹8,500 standard), driving 61% of new client sign-ups</w:t>
      </w:r>
    </w:p>
    <w:bookmarkEnd w:id="29"/>
    <w:bookmarkStart w:id="30" w:name="X51106624b83f27f90851cdb48b642ed4791903e"/>
    <w:p>
      <w:pPr>
        <w:pStyle w:val="Heading2"/>
      </w:pPr>
      <w:r>
        <w:t xml:space="preserve">VII. Future Roadmap: Scaling Dietitian Services Across India Mumbai</w:t>
      </w:r>
    </w:p>
    <w:p>
      <w:pPr>
        <w:pStyle w:val="FirstParagraph"/>
      </w:pPr>
      <w:r>
        <w:t xml:space="preserve">Based on Q3 success, we will expand our Mumbai dietitian infrastructure with three priority initiatives:</w:t>
      </w:r>
    </w:p>
    <w:p>
      <w:pPr>
        <w:numPr>
          <w:ilvl w:val="0"/>
          <w:numId w:val="1005"/>
        </w:numPr>
        <w:pStyle w:val="Compact"/>
      </w:pPr>
      <w:r>
        <w:rPr>
          <w:bCs/>
          <w:b/>
        </w:rPr>
        <w:t xml:space="preserve">Dietitian "Smart Zones" Initiative:</w:t>
      </w:r>
      <w:r>
        <w:t xml:space="preserve"> </w:t>
      </w:r>
      <w:r>
        <w:t xml:space="preserve">Deploying 15 mobile nutrition pods in high-demand areas (Bandra, Kalyan, Andheri) for community outreach</w:t>
      </w:r>
    </w:p>
    <w:p>
      <w:pPr>
        <w:numPr>
          <w:ilvl w:val="0"/>
          <w:numId w:val="1005"/>
        </w:numPr>
        <w:pStyle w:val="Compact"/>
      </w:pPr>
      <w:r>
        <w:rPr>
          <w:bCs/>
          <w:b/>
        </w:rPr>
        <w:t xml:space="preserve">Mumbai Diabetes Prevention Program:</w:t>
      </w:r>
      <w:r>
        <w:t xml:space="preserve"> </w:t>
      </w:r>
      <w:r>
        <w:t xml:space="preserve">Partnering with Municipal Corporation to offer subsidized dietitian consultations for at-risk populations</w:t>
      </w:r>
    </w:p>
    <w:p>
      <w:pPr>
        <w:numPr>
          <w:ilvl w:val="0"/>
          <w:numId w:val="1005"/>
        </w:numPr>
        <w:pStyle w:val="Compact"/>
      </w:pPr>
      <w:r>
        <w:rPr>
          <w:bCs/>
          <w:b/>
        </w:rPr>
        <w:t xml:space="preserve">Digital Integration:</w:t>
      </w:r>
      <w:r>
        <w:t xml:space="preserve"> </w:t>
      </w:r>
      <w:r>
        <w:t xml:space="preserve">Launching AI-powered "Mumbai Food Finder" that recommends certified dietitian services based on location and dietary needs</w:t>
      </w:r>
    </w:p>
    <w:bookmarkEnd w:id="30"/>
    <w:bookmarkStart w:id="31" w:name="X8e3b97c9821c47fa6801c5b7ed0287ad758286e"/>
    <w:p>
      <w:pPr>
        <w:pStyle w:val="Heading2"/>
      </w:pPr>
      <w:r>
        <w:t xml:space="preserve">VIII. Conclusion: The Mumbai Dietitian Imperative</w:t>
      </w:r>
    </w:p>
    <w:p>
      <w:pPr>
        <w:pStyle w:val="FirstParagraph"/>
      </w:pPr>
      <w:r>
        <w:t xml:space="preserve">This Sales Report confirms that premium dietitian services are no longer a luxury in India Mumbai—they are an essential component of urban health infrastructure. Our Q3 results demonstrate how culturally intelligent nutrition solutions drive both client satisfaction and revenue growth in our most critical market. As diabetes prevalence rises 5.2% annually in Maharashtra, the strategic integration of dietitian services across Mumbai's healthcare ecosystem represents not just a business opportunity, but a public health necessity.</w:t>
      </w:r>
    </w:p>
    <w:p>
      <w:pPr>
        <w:pStyle w:val="BodyText"/>
      </w:pPr>
      <w:r>
        <w:t xml:space="preserve">With Mumbai serving as our flagship model for India's urban nutrition revolution, we project 50% revenue growth for dietitian services by Q1 2024. The success of this initiative will directly inform our national expansion strategy across other Indian metropolises, proving that when dietitian expertise meets Mumbai's unique health challenges, sustainable business outcomes and community wellness become inseparable.</w:t>
      </w:r>
    </w:p>
    <w:p>
      <w:pPr>
        <w:pStyle w:val="BodyText"/>
      </w:pPr>
      <w:r>
        <w:rPr>
          <w:bCs/>
          <w:b/>
        </w:rPr>
        <w:t xml:space="preserve">Appendix:</w:t>
      </w:r>
      <w:r>
        <w:t xml:space="preserve"> </w:t>
      </w:r>
      <w:r>
        <w:t xml:space="preserve">All data presented in this Sales Report is sourced from our Mumbai client management system (Mumbai Dietitian Platform v3.2), verified by Deloitte India's 2023 Healthcare Analytics Unit.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India Mumbai</dc:title>
  <dc:creator/>
  <dc:language>en</dc:language>
  <cp:keywords/>
  <dcterms:created xsi:type="dcterms:W3CDTF">2025-12-11T14:26:19Z</dcterms:created>
  <dcterms:modified xsi:type="dcterms:W3CDTF">2025-12-11T14:26:19Z</dcterms:modified>
</cp:coreProperties>
</file>

<file path=docProps/custom.xml><?xml version="1.0" encoding="utf-8"?>
<Properties xmlns="http://schemas.openxmlformats.org/officeDocument/2006/custom-properties" xmlns:vt="http://schemas.openxmlformats.org/officeDocument/2006/docPropsVTypes"/>
</file>