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9" w:name="X9ab93fab1d725c578a35bc803b088f8aefa8d6e"/>
    <w:p>
      <w:pPr>
        <w:pStyle w:val="Heading1"/>
      </w:pPr>
      <w:r>
        <w:t xml:space="preserve">Comprehensive Sales Report for Dietitian Services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NutriHealth Solutions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Dietitian service portfolio in Indonesia Jakarta, reflecting significant growth in a market increasingly prioritizing preventive healthcare. As the leading provider of evidence-based nutrition solutions in Southeast Asia, we've achieved a 37% year-over-year increase in client acquisition within Jakarta's urban centers. The report confirms that demand for specialized Dietitian services is accelerating across all income brackets in Indonesia Jakarta, driven by rising obesity rates (30.5% among adults per WHO 2023), diabetes prevalence (15.6 million cases), and growing health consciousness post-pandemic.</w:t>
      </w:r>
    </w:p>
    <w:p>
      <w:pPr>
        <w:pStyle w:val="BodyText"/>
      </w:pPr>
      <w:r>
        <w:rPr>
          <w:bCs/>
          <w:b/>
        </w:rPr>
        <w:t xml:space="preserve">Key Achievement:</w:t>
      </w:r>
      <w:r>
        <w:t xml:space="preserve"> </w:t>
      </w:r>
      <w:r>
        <w:t xml:space="preserve">Jakarta has become our most profitable market in Indonesia, generating 42% of national revenue despite representing only 18% of total population. This validates our strategic investment in localized Dietitian service models for Indonesia Jakarta's unique cultural and economic landscape.</w:t>
      </w:r>
    </w:p>
    <w:bookmarkEnd w:id="20"/>
    <w:bookmarkStart w:id="21" w:name="Xf0ac056b387d0869f2d47c8a0e75f27c3bc91ab"/>
    <w:p>
      <w:pPr>
        <w:pStyle w:val="Heading2"/>
      </w:pPr>
      <w:r>
        <w:t xml:space="preserve">II. Market Analysis: Indonesia Jakarta Context</w:t>
      </w:r>
    </w:p>
    <w:p>
      <w:pPr>
        <w:pStyle w:val="FirstParagraph"/>
      </w:pPr>
      <w:r>
        <w:t xml:space="preserve">Indonesia Jakarta presents a dynamic market with over 10 million residents in the city proper and 30 million in Greater Jakarta Metropolitan Area (Jabodetabek). The nutritional landscape is characterized by:</w:t>
      </w:r>
    </w:p>
    <w:p>
      <w:pPr>
        <w:numPr>
          <w:ilvl w:val="0"/>
          <w:numId w:val="1001"/>
        </w:numPr>
        <w:pStyle w:val="Compact"/>
      </w:pPr>
      <w:r>
        <w:rPr>
          <w:bCs/>
          <w:b/>
        </w:rPr>
        <w:t xml:space="preserve">Cultural Nuances:</w:t>
      </w:r>
      <w:r>
        <w:t xml:space="preserve"> </w:t>
      </w:r>
      <w:r>
        <w:t xml:space="preserve">Traditional Indonesian cuisine (e.g., nasi goreng, satay) requires culturally sensitive Dietitian approaches that respect local ingredients while incorporating modern nutrition science.</w:t>
      </w:r>
    </w:p>
    <w:p>
      <w:pPr>
        <w:numPr>
          <w:ilvl w:val="0"/>
          <w:numId w:val="1001"/>
        </w:numPr>
        <w:pStyle w:val="Compact"/>
      </w:pPr>
      <w:r>
        <w:rPr>
          <w:bCs/>
          <w:b/>
        </w:rPr>
        <w:t xml:space="preserve">Economic Diversity:</w:t>
      </w:r>
      <w:r>
        <w:t xml:space="preserve"> </w:t>
      </w:r>
      <w:r>
        <w:t xml:space="preserve">Premium Dietitian services now attract corporate clients (Fortune 500 offices in Thamrin, SCBD) and middle-class families in residential hubs like Cipete and Alam Sutera.</w:t>
      </w:r>
    </w:p>
    <w:p>
      <w:pPr>
        <w:numPr>
          <w:ilvl w:val="0"/>
          <w:numId w:val="1001"/>
        </w:numPr>
        <w:pStyle w:val="Compact"/>
      </w:pPr>
      <w:r>
        <w:rPr>
          <w:bCs/>
          <w:b/>
        </w:rPr>
        <w:t xml:space="preserve">Regulatory Environment:</w:t>
      </w:r>
      <w:r>
        <w:t xml:space="preserve"> </w:t>
      </w:r>
      <w:r>
        <w:t xml:space="preserve">Indonesian Ministry of Health's 2021 Nutrition Guidelines mandate certified Dietitians for clinical nutrition programs, creating a legal framework favoring accredited professionals.</w:t>
      </w:r>
    </w:p>
    <w:bookmarkEnd w:id="21"/>
    <w:bookmarkStart w:id="22" w:name="iii.-sales-performance-breakdown-q3-2023"/>
    <w:p>
      <w:pPr>
        <w:pStyle w:val="Heading2"/>
      </w:pPr>
      <w:r>
        <w:t xml:space="preserve">III. 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Units Sold</w:t>
            </w:r>
          </w:p>
        </w:tc>
        <w:tc>
          <w:tcPr/>
          <w:p>
            <w:pPr>
              <w:pStyle w:val="Compact"/>
              <w:jc w:val="left"/>
            </w:pPr>
            <w:r>
              <w:t xml:space="preserve">Revenue (IDR)</w:t>
            </w:r>
          </w:p>
        </w:tc>
        <w:tc>
          <w:tcPr/>
          <w:p>
            <w:pPr>
              <w:pStyle w:val="Compact"/>
              <w:jc w:val="left"/>
            </w:pPr>
            <w:r>
              <w:t xml:space="preserve">% YoY Growth</w:t>
            </w:r>
          </w:p>
        </w:tc>
      </w:tr>
      <w:tr>
        <w:tc>
          <w:tcPr/>
          <w:p>
            <w:pPr>
              <w:pStyle w:val="Compact"/>
              <w:jc w:val="left"/>
            </w:pPr>
            <w:r>
              <w:t xml:space="preserve">Premium 12-Week Corporate Wellness Program</w:t>
            </w:r>
          </w:p>
        </w:tc>
        <w:tc>
          <w:tcPr/>
          <w:p>
            <w:pPr>
              <w:pStyle w:val="Compact"/>
              <w:jc w:val="left"/>
            </w:pPr>
            <w:r>
              <w:t xml:space="preserve">87</w:t>
            </w:r>
          </w:p>
        </w:tc>
        <w:tc>
          <w:tcPr/>
          <w:p>
            <w:pPr>
              <w:pStyle w:val="Compact"/>
              <w:jc w:val="left"/>
            </w:pPr>
            <w:r>
              <w:t xml:space="preserve">4,562,000,000</w:t>
            </w:r>
          </w:p>
        </w:tc>
        <w:tc>
          <w:tcPr/>
          <w:p>
            <w:pPr>
              <w:pStyle w:val="Compact"/>
              <w:jc w:val="left"/>
            </w:pPr>
            <w:r>
              <w:t xml:space="preserve">52%</w:t>
            </w:r>
          </w:p>
        </w:tc>
      </w:tr>
      <w:tr>
        <w:tc>
          <w:tcPr/>
          <w:p>
            <w:pPr>
              <w:pStyle w:val="Compact"/>
              <w:jc w:val="left"/>
            </w:pPr>
            <w:r>
              <w:t xml:space="preserve">Individual Clinical Dietitian Consultation (3 Sessions)</w:t>
            </w:r>
          </w:p>
        </w:tc>
        <w:tc>
          <w:tcPr/>
          <w:p>
            <w:pPr>
              <w:pStyle w:val="Compact"/>
              <w:jc w:val="left"/>
            </w:pPr>
            <w:r>
              <w:t xml:space="preserve">1,425</w:t>
            </w:r>
          </w:p>
        </w:tc>
        <w:tc>
          <w:tcPr/>
          <w:p>
            <w:pPr>
              <w:pStyle w:val="Compact"/>
              <w:jc w:val="left"/>
            </w:pPr>
            <w:r>
              <w:t xml:space="preserve">1,068,750,000</w:t>
            </w:r>
          </w:p>
        </w:tc>
        <w:tc>
          <w:tcPr/>
          <w:p>
            <w:pPr>
              <w:pStyle w:val="Compact"/>
              <w:jc w:val="left"/>
            </w:pPr>
            <w:r>
              <w:t xml:space="preserve">34%</w:t>
            </w:r>
          </w:p>
        </w:tc>
      </w:tr>
      <w:tr>
        <w:tc>
          <w:tcPr/>
          <w:p>
            <w:pPr>
              <w:pStyle w:val="Compact"/>
              <w:jc w:val="left"/>
            </w:pPr>
            <w:r>
              <w:t xml:space="preserve">Digital Meal Planning Subscription (Jakarta Focus)</w:t>
            </w:r>
          </w:p>
        </w:tc>
        <w:tc>
          <w:tcPr/>
          <w:p>
            <w:pPr>
              <w:pStyle w:val="Compact"/>
              <w:jc w:val="left"/>
            </w:pPr>
            <w:r>
              <w:t xml:space="preserve">3,218</w:t>
            </w:r>
          </w:p>
        </w:tc>
        <w:tc>
          <w:tcPr/>
          <w:p>
            <w:pPr>
              <w:pStyle w:val="Compact"/>
              <w:jc w:val="left"/>
            </w:pPr>
            <w:r>
              <w:t xml:space="preserve">299,186,000</w:t>
            </w:r>
          </w:p>
        </w:tc>
        <w:tc>
          <w:tcPr/>
          <w:p>
            <w:pPr>
              <w:pStyle w:val="Compact"/>
              <w:jc w:val="left"/>
            </w:pPr>
            <w:r>
              <w:t xml:space="preserve">67%</w:t>
            </w:r>
          </w:p>
        </w:tc>
      </w:tr>
      <w:tr>
        <w:tc>
          <w:tcPr/>
          <w:p>
            <w:pPr>
              <w:pStyle w:val="Compact"/>
              <w:jc w:val="left"/>
            </w:pPr>
            <w:r>
              <w:rPr>
                <w:bCs/>
                <w:b/>
              </w:rPr>
              <w:t xml:space="preserve">Total Jakarta Sales</w:t>
            </w:r>
          </w:p>
        </w:tc>
        <w:tc>
          <w:tcPr/>
          <w:p>
            <w:pPr>
              <w:pStyle w:val="Compact"/>
              <w:jc w:val="left"/>
            </w:pPr>
            <w:r>
              <w:rPr>
                <w:bCs/>
                <w:b/>
              </w:rPr>
              <w:t xml:space="preserve">4,730</w:t>
            </w:r>
          </w:p>
        </w:tc>
        <w:tc>
          <w:tcPr/>
          <w:p>
            <w:pPr>
              <w:pStyle w:val="Compact"/>
              <w:jc w:val="left"/>
            </w:pPr>
            <w:r>
              <w:rPr>
                <w:bCs/>
                <w:b/>
              </w:rPr>
              <w:t xml:space="preserve">5,929,936,000</w:t>
            </w:r>
          </w:p>
        </w:tc>
        <w:tc>
          <w:tcPr/>
          <w:p>
            <w:pPr>
              <w:pStyle w:val="Compact"/>
              <w:jc w:val="left"/>
            </w:pPr>
            <w:r>
              <w:rPr>
                <w:bCs/>
                <w:b/>
              </w:rPr>
              <w:t xml:space="preserve">37%</w:t>
            </w:r>
          </w:p>
        </w:tc>
      </w:tr>
    </w:tbl>
    <w:p>
      <w:pPr>
        <w:pStyle w:val="BodyText"/>
      </w:pPr>
      <w:r>
        <w:t xml:space="preserve">The digital subscription growth (67% YoY) is particularly significant. Our Jakarta-specific app features:</w:t>
      </w:r>
      <w:r>
        <w:t xml:space="preserve"> </w:t>
      </w:r>
      <w:r>
        <w:t xml:space="preserve">• Localized food databases (e.g., "Mie Ayam" nutritional analysis)</w:t>
      </w:r>
      <w:r>
        <w:t xml:space="preserve"> </w:t>
      </w:r>
      <w:r>
        <w:t xml:space="preserve">• Halal-certified meal plans</w:t>
      </w:r>
      <w:r>
        <w:t xml:space="preserve"> </w:t>
      </w:r>
      <w:r>
        <w:t xml:space="preserve">• Integration with Jakarta's major supermarkets (Indomaret, Alfamart)</w:t>
      </w:r>
      <w:r>
        <w:t xml:space="preserve"> </w:t>
      </w:r>
      <w:r>
        <w:t xml:space="preserve">This innovation directly addresses the pain point of accessing culturally appropriate nutrition guidance in Indonesia Jakarta.</w:t>
      </w:r>
    </w:p>
    <w:bookmarkEnd w:id="22"/>
    <w:bookmarkStart w:id="23" w:name="Xbf2d8a65e39fc4ffede38b656a27188854f8bdf"/>
    <w:p>
      <w:pPr>
        <w:pStyle w:val="Heading2"/>
      </w:pPr>
      <w:r>
        <w:t xml:space="preserve">IV. Key Achievement: Strategic Partnership in Indonesia Jakarta</w:t>
      </w:r>
    </w:p>
    <w:p>
      <w:pPr>
        <w:pStyle w:val="FirstParagraph"/>
      </w:pPr>
      <w:r>
        <w:t xml:space="preserve">Our most impactful Q3 milestone was securing a landmark partnership with PT. Kalbe Farma (Indonesia's largest pharmaceutical company) to deploy certified Dietitian services across 150+ clinics in Greater Jakarta. This initiative targets diabetes management programs and includes:</w:t>
      </w:r>
    </w:p>
    <w:p>
      <w:pPr>
        <w:numPr>
          <w:ilvl w:val="0"/>
          <w:numId w:val="1002"/>
        </w:numPr>
        <w:pStyle w:val="Compact"/>
      </w:pPr>
      <w:r>
        <w:t xml:space="preserve">Training 28 new Dietitians at Kalbe's Jakarta headquarters</w:t>
      </w:r>
    </w:p>
    <w:p>
      <w:pPr>
        <w:numPr>
          <w:ilvl w:val="0"/>
          <w:numId w:val="1002"/>
        </w:numPr>
        <w:pStyle w:val="Compact"/>
      </w:pPr>
      <w:r>
        <w:t xml:space="preserve">Developing culturally adapted meal plans for Javanese, Sundanese, and Betawi communities</w:t>
      </w:r>
    </w:p>
    <w:p>
      <w:pPr>
        <w:numPr>
          <w:ilvl w:val="0"/>
          <w:numId w:val="1002"/>
        </w:numPr>
        <w:pStyle w:val="Compact"/>
      </w:pPr>
      <w:r>
        <w:t xml:space="preserve">Integrating with Indonesia's National Health Insurance (JKN) system</w:t>
      </w:r>
    </w:p>
    <w:p>
      <w:pPr>
        <w:pStyle w:val="FirstParagraph"/>
      </w:pPr>
      <w:r>
        <w:rPr>
          <w:bCs/>
          <w:b/>
        </w:rPr>
        <w:t xml:space="preserve">This partnership alone generated 18.7% of Q3 total revenue for our Dietitian services in Indonesia Jakarta.</w:t>
      </w:r>
      <w:r>
        <w:t xml:space="preserve"> </w:t>
      </w:r>
      <w:r>
        <w:t xml:space="preserve">It exemplifies how aligning with local healthcare infrastructure accelerates market penetration while meeting regulatory requirements unique to the Indonesian context.</w:t>
      </w:r>
    </w:p>
    <w:bookmarkEnd w:id="23"/>
    <w:bookmarkStart w:id="26" w:name="Xd3ed446299cdff16c1b5373e04d74d4ff91b321"/>
    <w:p>
      <w:pPr>
        <w:pStyle w:val="Heading2"/>
      </w:pPr>
      <w:r>
        <w:t xml:space="preserve">V. Challenges &amp; Solutions in Indonesia Jakarta Market</w:t>
      </w:r>
    </w:p>
    <w:p>
      <w:pPr>
        <w:pStyle w:val="FirstParagraph"/>
      </w:pPr>
      <w:r>
        <w:t xml:space="preserve">Despite growth, we identified critical challenges requiring localized solutions:</w:t>
      </w:r>
    </w:p>
    <w:bookmarkStart w:id="24" w:name="X5af0f0499dd76880f1754bececaf1b0b6c53108"/>
    <w:p>
      <w:pPr>
        <w:pStyle w:val="Heading3"/>
      </w:pPr>
      <w:r>
        <w:t xml:space="preserve">Challenge 1: Cultural Misalignment in Nutrition Messaging</w:t>
      </w:r>
    </w:p>
    <w:p>
      <w:pPr>
        <w:pStyle w:val="FirstParagraph"/>
      </w:pPr>
      <w:r>
        <w:rPr>
          <w:iCs/>
          <w:i/>
        </w:rPr>
        <w:t xml:space="preserve">Situation:</w:t>
      </w:r>
      <w:r>
        <w:t xml:space="preserve"> </w:t>
      </w:r>
      <w:r>
        <w:t xml:space="preserve">Initial client attrition when Western-style meal plans were presented to Jakarta clients.</w:t>
      </w:r>
    </w:p>
    <w:p>
      <w:pPr>
        <w:pStyle w:val="BodyText"/>
      </w:pPr>
      <w:r>
        <w:rPr>
          <w:iCs/>
          <w:i/>
        </w:rPr>
        <w:t xml:space="preserve">Solution:</w:t>
      </w:r>
      <w:r>
        <w:t xml:space="preserve"> </w:t>
      </w:r>
      <w:r>
        <w:t xml:space="preserve">We implemented "Jakarta Culture Mapping" where Dietitians collaborate with local chefs to create nutrition plans using familiar ingredients (e.g., tempeh instead of tofu, sambal as flavor enhancer). This reduced attrition by 41% in Q3.</w:t>
      </w:r>
    </w:p>
    <w:bookmarkEnd w:id="24"/>
    <w:bookmarkStart w:id="25" w:name="Xc63fbe90a382113835d6a1dfa8ceab12978cd7d"/>
    <w:p>
      <w:pPr>
        <w:pStyle w:val="Heading3"/>
      </w:pPr>
      <w:r>
        <w:t xml:space="preserve">Challenge 2: Price Sensitivity Among Middle-Class Jakarta Residents</w:t>
      </w:r>
    </w:p>
    <w:p>
      <w:pPr>
        <w:pStyle w:val="FirstParagraph"/>
      </w:pPr>
      <w:r>
        <w:rPr>
          <w:iCs/>
          <w:i/>
        </w:rPr>
        <w:t xml:space="preserve">Situation:</w:t>
      </w:r>
      <w:r>
        <w:t xml:space="preserve"> </w:t>
      </w:r>
      <w:r>
        <w:t xml:space="preserve">68% of potential clients declined services due to perceived cost (average consultation IDR 1.2 million).</w:t>
      </w:r>
    </w:p>
    <w:p>
      <w:pPr>
        <w:pStyle w:val="BodyText"/>
      </w:pPr>
      <w:r>
        <w:rPr>
          <w:iCs/>
          <w:i/>
        </w:rPr>
        <w:t xml:space="preserve">Solution:</w:t>
      </w:r>
      <w:r>
        <w:t xml:space="preserve"> </w:t>
      </w:r>
      <w:r>
        <w:t xml:space="preserve">Launched "Dietitian for Rakyat" program with tiered pricing and JKN insurance reimbursement pathways. This generated 320 new low-cost consultations in Q3, proving market readiness for affordable nutrition services in Indonesia Jakarta.</w:t>
      </w:r>
    </w:p>
    <w:bookmarkEnd w:id="25"/>
    <w:bookmarkEnd w:id="26"/>
    <w:bookmarkStart w:id="27" w:name="Xfc2810d8f30965aee2e28e338aa14f72f8a2150"/>
    <w:p>
      <w:pPr>
        <w:pStyle w:val="Heading2"/>
      </w:pPr>
      <w:r>
        <w:t xml:space="preserve">VI. Future Strategy: Scaling Dietitian Services Across Indonesia Jakarta</w:t>
      </w:r>
    </w:p>
    <w:p>
      <w:pPr>
        <w:pStyle w:val="FirstParagraph"/>
      </w:pPr>
      <w:r>
        <w:t xml:space="preserve">Based on our Sales Report data, we recommend three strategic initiatives:</w:t>
      </w:r>
    </w:p>
    <w:p>
      <w:pPr>
        <w:numPr>
          <w:ilvl w:val="0"/>
          <w:numId w:val="1003"/>
        </w:numPr>
        <w:pStyle w:val="Compact"/>
      </w:pPr>
      <w:r>
        <w:rPr>
          <w:bCs/>
          <w:b/>
        </w:rPr>
        <w:t xml:space="preserve">Hyper-Localized Content Expansion:</w:t>
      </w:r>
      <w:r>
        <w:t xml:space="preserve"> </w:t>
      </w:r>
      <w:r>
        <w:t xml:space="preserve">Develop 3 new regional nutrition guides for Jakarta sub-districts (e.g., "West Jakarta Coastal Community Nutrition," "South Jakarta Office Worker Programs").</w:t>
      </w:r>
    </w:p>
    <w:p>
      <w:pPr>
        <w:numPr>
          <w:ilvl w:val="0"/>
          <w:numId w:val="1003"/>
        </w:numPr>
        <w:pStyle w:val="Compact"/>
      </w:pPr>
      <w:r>
        <w:rPr>
          <w:bCs/>
          <w:b/>
        </w:rPr>
        <w:t xml:space="preserve">Digital Ecosystem Integration:</w:t>
      </w:r>
      <w:r>
        <w:t xml:space="preserve"> </w:t>
      </w:r>
      <w:r>
        <w:t xml:space="preserve">Partner with Gojek and Grab to offer Dietitian consultations as part of their health subscriptions, leveraging existing user bases in Indonesia Jakarta.</w:t>
      </w:r>
    </w:p>
    <w:p>
      <w:pPr>
        <w:numPr>
          <w:ilvl w:val="0"/>
          <w:numId w:val="1003"/>
        </w:numPr>
        <w:pStyle w:val="Compact"/>
      </w:pPr>
      <w:r>
        <w:rPr>
          <w:bCs/>
          <w:b/>
        </w:rPr>
        <w:t xml:space="preserve">Dietitian Training Academy:</w:t>
      </w:r>
      <w:r>
        <w:t xml:space="preserve"> </w:t>
      </w:r>
      <w:r>
        <w:t xml:space="preserve">Establish the first Indonesian-certified Dietitian training center in Jakarta (planned Q1 2024) to address national shortage of 8,500 certified professionals.</w:t>
      </w:r>
    </w:p>
    <w:bookmarkEnd w:id="27"/>
    <w:bookmarkStart w:id="28" w:name="Xb5f189ef954d29e14c5c8786677a9eef4f7ad70"/>
    <w:p>
      <w:pPr>
        <w:pStyle w:val="Heading2"/>
      </w:pPr>
      <w:r>
        <w:t xml:space="preserve">VII. Conclusion: The Jakarta Dietitian Market Imperative</w:t>
      </w:r>
    </w:p>
    <w:p>
      <w:pPr>
        <w:pStyle w:val="FirstParagraph"/>
      </w:pPr>
      <w:r>
        <w:t xml:space="preserve">This Sales Report unequivocally demonstrates that the Dietitian market in Indonesia Jakarta has evolved beyond niche wellness into essential healthcare. With obesity rates rising faster than national averages and government initiatives prioritizing nutrition, our position as a leader in culturally competent dietetic services is both strategic and urgent.</w:t>
      </w:r>
    </w:p>
    <w:p>
      <w:pPr>
        <w:pStyle w:val="BodyText"/>
      </w:pPr>
      <w:r>
        <w:t xml:space="preserve">Crucially, this success stems from understanding that "Dietitian" in Indonesia Jakarta requires more than clinical expertise—it demands cultural intelligence. Our adaptation of services to reflect Jakarta's culinary identity (e.g., transforming nasi goreng into a diabetic-friendly meal plan) has been the differentiator. As we scale, all initiatives will remain anchored in this principle:</w:t>
      </w:r>
      <w:r>
        <w:t xml:space="preserve"> </w:t>
      </w:r>
      <w:r>
        <w:rPr>
          <w:iCs/>
          <w:i/>
        </w:rPr>
        <w:t xml:space="preserve">"Nutrition without cultural context is not sustainable."</w:t>
      </w:r>
    </w:p>
    <w:p>
      <w:pPr>
        <w:pStyle w:val="BodyText"/>
      </w:pPr>
      <w:r>
        <w:t xml:space="preserve">The Q3 results confirm that Indonesia Jakarta isn't just a market for our Dietitian services—it's the proving ground for how global health solutions must localize to succeed. We project 45% annual growth in Jakarta by Q2 2024, with the entire Indonesia portfolio benefiting from this strategic hub. As we finalize our Sales Report, it's clear that investing in culturally fluent Dietitian expertise is not merely profitable—it's transforming public health outcomes across Indonesia Jakarta.</w:t>
      </w:r>
    </w:p>
    <w:p>
      <w:pPr>
        <w:pStyle w:val="BodyText"/>
      </w:pPr>
      <w:r>
        <w:rPr>
          <w:bCs/>
          <w:b/>
        </w:rPr>
        <w:t xml:space="preserve">Prepared By:</w:t>
      </w:r>
      <w:r>
        <w:t xml:space="preserve"> </w:t>
      </w:r>
      <w:r>
        <w:t xml:space="preserve">Maria Tanuwijaya, Senior Sales Director - Asia Pacific</w:t>
      </w:r>
      <w:r>
        <w:br/>
      </w:r>
      <w:r>
        <w:rPr>
          <w:bCs/>
          <w:b/>
        </w:rPr>
        <w:t xml:space="preserve">Contact:</w:t>
      </w:r>
      <w:r>
        <w:t xml:space="preserve"> </w:t>
      </w:r>
      <w:r>
        <w:t xml:space="preserve">m.tanuwijaya@nutrihealth.id | +62 21 555-9876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Indonesia Jakarta</dc:title>
  <dc:creator/>
  <dc:language>en</dc:language>
  <cp:keywords/>
  <dcterms:created xsi:type="dcterms:W3CDTF">2026-07-21T05:59:55Z</dcterms:created>
  <dcterms:modified xsi:type="dcterms:W3CDTF">2026-07-21T05:59:55Z</dcterms:modified>
</cp:coreProperties>
</file>

<file path=docProps/custom.xml><?xml version="1.0" encoding="utf-8"?>
<Properties xmlns="http://schemas.openxmlformats.org/officeDocument/2006/custom-properties" xmlns:vt="http://schemas.openxmlformats.org/officeDocument/2006/docPropsVTypes"/>
</file>