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8" w:name="Xd68f489100a4ce238a3b5f53f2ca01c9b99502b"/>
    <w:p>
      <w:pPr>
        <w:pStyle w:val="Heading1"/>
      </w:pPr>
      <w:r>
        <w:t xml:space="preserve">ANNUAL SALES REPORT: DIETITIAN SERVICES MARKET ANALYSIS IN TEHRAN, IRAN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 Sector Management Committee, Tehran</w:t>
      </w:r>
      <w:r>
        <w:br/>
      </w:r>
      <w:r>
        <w:rPr>
          <w:bCs/>
          <w:b/>
        </w:rPr>
        <w:t xml:space="preserve">Prepared By:</w:t>
      </w:r>
      <w:r>
        <w:t xml:space="preserve"> </w:t>
      </w:r>
      <w:r>
        <w:t xml:space="preserve">Strategic Market Intelligence Division</w:t>
      </w:r>
    </w:p>
    <w:bookmarkStart w:id="20" w:name="i.-executive-summary"/>
    <w:p>
      <w:pPr>
        <w:pStyle w:val="Heading2"/>
      </w:pPr>
      <w:r>
        <w:t xml:space="preserve">I. Executive Summary</w:t>
      </w:r>
    </w:p>
    <w:p>
      <w:pPr>
        <w:pStyle w:val="FirstParagraph"/>
      </w:pPr>
      <w:r>
        <w:t xml:space="preserve">This comprehensive Sales Report details the performance and market dynamics of professional Dietitian services across Tehran, Iran during Q1 2023–Q4 2023. The report confirms a 37% year-over-year growth in demand for specialized nutrition consulting, driven by rising health consciousness, diabetes prevalence (affecting 14.8% of Tehran's adult population), and government health initiatives. With Tehran accounting for over 65% of Iran's dietitian service market value, this report serves as a critical strategic document for healthcare providers and policymakers navigating the evolving wellness landscape in Iran.</w:t>
      </w:r>
    </w:p>
    <w:bookmarkEnd w:id="20"/>
    <w:bookmarkStart w:id="21" w:name="X6a2e4c9f765dcc46978131285d6431c95d826c9"/>
    <w:p>
      <w:pPr>
        <w:pStyle w:val="Heading2"/>
      </w:pPr>
      <w:r>
        <w:t xml:space="preserve">II. Market Context: Dietitian Services in Tehran</w:t>
      </w:r>
    </w:p>
    <w:p>
      <w:pPr>
        <w:pStyle w:val="FirstParagraph"/>
      </w:pPr>
      <w:r>
        <w:t xml:space="preserve">Tehran's urban population (15.8 million) faces dual challenges of rapid dietary Westernization and persistent malnutrition issues, creating urgent demand for certified Dietitians. The Iranian Ministry of Health's 2023 National Nutrition Strategy explicitly prioritizes dietitian integration into primary healthcare—directly impacting our Sales Report metrics. Key market segments include:</w:t>
      </w:r>
    </w:p>
    <w:p>
      <w:pPr>
        <w:numPr>
          <w:ilvl w:val="0"/>
          <w:numId w:val="1001"/>
        </w:numPr>
        <w:pStyle w:val="Compact"/>
      </w:pPr>
      <w:r>
        <w:rPr>
          <w:bCs/>
          <w:b/>
        </w:rPr>
        <w:t xml:space="preserve">Corporate Wellness Programs:</w:t>
      </w:r>
      <w:r>
        <w:t xml:space="preserve"> </w:t>
      </w:r>
      <w:r>
        <w:t xml:space="preserve">42% of sales from Tehran-based multinational firms (e.g., Petrol, Telecom, Banking sectors) implementing employee nutrition plans</w:t>
      </w:r>
    </w:p>
    <w:p>
      <w:pPr>
        <w:numPr>
          <w:ilvl w:val="0"/>
          <w:numId w:val="1001"/>
        </w:numPr>
        <w:pStyle w:val="Compact"/>
      </w:pPr>
      <w:r>
        <w:rPr>
          <w:bCs/>
          <w:b/>
        </w:rPr>
        <w:t xml:space="preserve">Diabetes Management Centers:</w:t>
      </w:r>
      <w:r>
        <w:t xml:space="preserve"> </w:t>
      </w:r>
      <w:r>
        <w:t xml:space="preserve">31% of revenue generated through partnerships with Tehran's 28 accredited diabetes clinics</w:t>
      </w:r>
    </w:p>
    <w:bookmarkEnd w:id="21"/>
    <w:bookmarkStart w:id="22" w:name="X1130d0fc692e37041977eedf71b0846ae769714"/>
    <w:p>
      <w:pPr>
        <w:pStyle w:val="Heading2"/>
      </w:pPr>
      <w:r>
        <w:t xml:space="preserve">III. Sales Performance Breakdown (Tehran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Total Consultations (Tehran)</w:t>
            </w:r>
          </w:p>
        </w:tc>
        <w:tc>
          <w:tcPr/>
          <w:p>
            <w:pPr>
              <w:pStyle w:val="Compact"/>
              <w:jc w:val="left"/>
            </w:pPr>
            <w:r>
              <w:t xml:space="preserve">Avg. Revenue per Session</w:t>
            </w:r>
          </w:p>
        </w:tc>
        <w:tc>
          <w:tcPr/>
          <w:p>
            <w:pPr>
              <w:pStyle w:val="Compact"/>
              <w:jc w:val="left"/>
            </w:pPr>
            <w:r>
              <w:t xml:space="preserve">YoY Growth</w:t>
            </w:r>
          </w:p>
        </w:tc>
      </w:tr>
      <w:tr>
        <w:tc>
          <w:tcPr/>
          <w:p>
            <w:pPr>
              <w:pStyle w:val="Compact"/>
              <w:jc w:val="left"/>
            </w:pPr>
            <w:r>
              <w:t xml:space="preserve">Q1 2023</w:t>
            </w:r>
          </w:p>
        </w:tc>
        <w:tc>
          <w:tcPr/>
          <w:p>
            <w:pPr>
              <w:pStyle w:val="Compact"/>
              <w:jc w:val="left"/>
            </w:pPr>
            <w:r>
              <w:t xml:space="preserve">4,850</w:t>
            </w:r>
          </w:p>
        </w:tc>
        <w:tc>
          <w:tcPr/>
          <w:p>
            <w:pPr>
              <w:pStyle w:val="Compact"/>
              <w:jc w:val="left"/>
            </w:pPr>
            <w:r>
              <w:t xml:space="preserve">IRR 850,000 ($17.8)</w:t>
            </w:r>
          </w:p>
        </w:tc>
        <w:tc>
          <w:tcPr/>
          <w:p>
            <w:pPr>
              <w:pStyle w:val="Compact"/>
              <w:jc w:val="left"/>
            </w:pPr>
            <w:r>
              <w:t xml:space="preserve">9%</w:t>
            </w:r>
          </w:p>
        </w:tc>
      </w:tr>
      <w:tr>
        <w:tc>
          <w:tcPr/>
          <w:p>
            <w:pPr>
              <w:pStyle w:val="Compact"/>
              <w:jc w:val="left"/>
            </w:pPr>
            <w:r>
              <w:t xml:space="preserve">Q2 2023</w:t>
            </w:r>
          </w:p>
        </w:tc>
        <w:tc>
          <w:tcPr/>
          <w:p>
            <w:pPr>
              <w:pStyle w:val="Compact"/>
              <w:jc w:val="left"/>
            </w:pPr>
            <w:r>
              <w:t xml:space="preserve">6,123</w:t>
            </w:r>
          </w:p>
        </w:tc>
        <w:tc>
          <w:tcPr/>
          <w:p>
            <w:pPr>
              <w:pStyle w:val="Compact"/>
              <w:jc w:val="left"/>
            </w:pPr>
            <w:r>
              <w:t xml:space="preserve">IRR 895,000 ($18.7)</w:t>
            </w:r>
          </w:p>
        </w:tc>
        <w:tc>
          <w:tcPr/>
          <w:p>
            <w:pPr>
              <w:pStyle w:val="Compact"/>
              <w:jc w:val="left"/>
            </w:pPr>
            <w:r>
              <w:t xml:space="preserve">14%</w:t>
            </w:r>
          </w:p>
        </w:tc>
      </w:tr>
      <w:tr>
        <w:tc>
          <w:tcPr/>
          <w:p>
            <w:pPr>
              <w:pStyle w:val="Compact"/>
              <w:jc w:val="left"/>
            </w:pPr>
            <w:r>
              <w:t xml:space="preserve">Q3 2023</w:t>
            </w:r>
          </w:p>
        </w:tc>
        <w:tc>
          <w:tcPr/>
          <w:p>
            <w:pPr>
              <w:pStyle w:val="Compact"/>
              <w:jc w:val="left"/>
            </w:pPr>
            <w:r>
              <w:t xml:space="preserve">7,491</w:t>
            </w:r>
          </w:p>
        </w:tc>
        <w:tc>
          <w:tcPr/>
          <w:p>
            <w:pPr>
              <w:pStyle w:val="Compact"/>
              <w:jc w:val="left"/>
            </w:pPr>
            <w:r>
              <w:t xml:space="preserve">IRR 925,000 ($19.3)</w:t>
            </w:r>
          </w:p>
        </w:tc>
        <w:tc>
          <w:tcPr/>
          <w:p>
            <w:pPr>
              <w:pStyle w:val="Compact"/>
              <w:jc w:val="left"/>
            </w:pPr>
            <w:r>
              <w:t xml:space="preserve">28%</w:t>
            </w:r>
          </w:p>
        </w:tc>
      </w:tr>
      <w:tr>
        <w:tc>
          <w:tcPr/>
          <w:p>
            <w:pPr>
              <w:pStyle w:val="Compact"/>
              <w:jc w:val="left"/>
            </w:pPr>
            <w:r>
              <w:t xml:space="preserve">Q4 2023</w:t>
            </w:r>
          </w:p>
        </w:tc>
        <w:tc>
          <w:tcPr/>
          <w:p>
            <w:pPr>
              <w:pStyle w:val="Compact"/>
              <w:jc w:val="left"/>
            </w:pPr>
            <w:r>
              <w:rPr>
                <w:bCs/>
                <w:b/>
              </w:rPr>
              <w:t xml:space="preserve">8,647</w:t>
            </w:r>
          </w:p>
        </w:tc>
        <w:tc>
          <w:tcPr/>
          <w:p>
            <w:pPr>
              <w:pStyle w:val="Compact"/>
              <w:jc w:val="left"/>
            </w:pPr>
            <w:r>
              <w:rPr>
                <w:bCs/>
                <w:b/>
              </w:rPr>
              <w:t xml:space="preserve">IRR 950,000 ($19.8)</w:t>
            </w:r>
          </w:p>
        </w:tc>
        <w:tc>
          <w:tcPr/>
          <w:p>
            <w:pPr>
              <w:pStyle w:val="Compact"/>
              <w:jc w:val="left"/>
            </w:pPr>
            <w:r>
              <w:rPr>
                <w:bCs/>
                <w:b/>
              </w:rPr>
              <w:t xml:space="preserve">37%</w:t>
            </w:r>
          </w:p>
        </w:tc>
      </w:tr>
    </w:tbl>
    <w:p>
      <w:pPr>
        <w:pStyle w:val="BodyText"/>
      </w:pPr>
      <w:r>
        <w:rPr>
          <w:iCs/>
          <w:i/>
        </w:rPr>
        <w:t xml:space="preserve">NOTE: All figures represent Tehran-exclusive data, normalized for inflation (22.5% annual rate) and currency adjustments per Central Bank of Iran guidelines.</w:t>
      </w:r>
    </w:p>
    <w:bookmarkEnd w:id="22"/>
    <w:bookmarkStart w:id="23" w:name="Xc283541fab39e38ed07f28183164d03d0b328e9"/>
    <w:p>
      <w:pPr>
        <w:pStyle w:val="Heading2"/>
      </w:pPr>
      <w:r>
        <w:t xml:space="preserve">IV. Key Drivers of Sales Growth in Tehran</w:t>
      </w:r>
    </w:p>
    <w:p>
      <w:pPr>
        <w:numPr>
          <w:ilvl w:val="0"/>
          <w:numId w:val="1002"/>
        </w:numPr>
        <w:pStyle w:val="Compact"/>
      </w:pPr>
      <w:r>
        <w:rPr>
          <w:bCs/>
          <w:b/>
        </w:rPr>
        <w:t xml:space="preserve">Government Healthcare Initiatives:</w:t>
      </w:r>
      <w:r>
        <w:t xml:space="preserve"> </w:t>
      </w:r>
      <w:r>
        <w:t xml:space="preserve">The "National Diabetes Control Project" (launched 2021) mandated dietitian consultations for all Type-2 diabetes patients across Tehran public hospitals, generating 18,400+ monthly referrals. This policy directly boosted Dietitian sales by 33% in Q3–Q4.</w:t>
      </w:r>
    </w:p>
    <w:p>
      <w:pPr>
        <w:numPr>
          <w:ilvl w:val="0"/>
          <w:numId w:val="1002"/>
        </w:numPr>
        <w:pStyle w:val="Compact"/>
      </w:pPr>
      <w:r>
        <w:rPr>
          <w:bCs/>
          <w:b/>
        </w:rPr>
        <w:t xml:space="preserve">Corporate Demand Surge:</w:t>
      </w:r>
      <w:r>
        <w:t xml:space="preserve"> </w:t>
      </w:r>
      <w:r>
        <w:t xml:space="preserve">Major Tehran employers (e.g., Iran Khodro, Kowsar Group) expanded wellness benefits to include personalized diet planning after a 2022 study showed 41% productivity gains. This contributed to a 67% increase in corporate contracts.</w:t>
      </w:r>
    </w:p>
    <w:p>
      <w:pPr>
        <w:numPr>
          <w:ilvl w:val="0"/>
          <w:numId w:val="1002"/>
        </w:numPr>
        <w:pStyle w:val="Compact"/>
      </w:pPr>
      <w:r>
        <w:rPr>
          <w:bCs/>
          <w:b/>
        </w:rPr>
        <w:t xml:space="preserve">Cultural Shift Toward Preventive Care:</w:t>
      </w:r>
      <w:r>
        <w:t xml:space="preserve"> </w:t>
      </w:r>
      <w:r>
        <w:t xml:space="preserve">Rising middle-class awareness of "food as medicine" has reduced stigma around dietitian consultations—particularly among women aged 25–45 (78% of Tehran clients), aligning with Iran's National Health Strategy.</w:t>
      </w:r>
    </w:p>
    <w:bookmarkEnd w:id="23"/>
    <w:bookmarkStart w:id="24" w:name="v.-critical-market-challenges-in-iran"/>
    <w:p>
      <w:pPr>
        <w:pStyle w:val="Heading2"/>
      </w:pPr>
      <w:r>
        <w:t xml:space="preserve">V. Critical Market Challenges in Iran</w:t>
      </w:r>
    </w:p>
    <w:p>
      <w:pPr>
        <w:pStyle w:val="FirstParagraph"/>
      </w:pPr>
      <w:r>
        <w:t xml:space="preserve">Despite strong sales performance, our report identifies significant barriers specific to the Iranian context:</w:t>
      </w:r>
    </w:p>
    <w:p>
      <w:pPr>
        <w:numPr>
          <w:ilvl w:val="0"/>
          <w:numId w:val="1003"/>
        </w:numPr>
        <w:pStyle w:val="Compact"/>
      </w:pPr>
      <w:r>
        <w:rPr>
          <w:bCs/>
          <w:b/>
        </w:rPr>
        <w:t xml:space="preserve">Regulatory Fragmentation:</w:t>
      </w:r>
      <w:r>
        <w:t xml:space="preserve"> </w:t>
      </w:r>
      <w:r>
        <w:t xml:space="preserve">Inconsistent licensing requirements between Tehran municipal authorities and Ministry of Health create service delivery bottlenecks, delaying 19% of potential consultations.</w:t>
      </w:r>
    </w:p>
    <w:p>
      <w:pPr>
        <w:numPr>
          <w:ilvl w:val="0"/>
          <w:numId w:val="1003"/>
        </w:numPr>
        <w:pStyle w:val="Compact"/>
      </w:pPr>
      <w:r>
        <w:rPr>
          <w:bCs/>
          <w:b/>
        </w:rPr>
        <w:t xml:space="preserve">Pricing Sensitivity:</w:t>
      </w:r>
      <w:r>
        <w:t xml:space="preserve"> </w:t>
      </w:r>
      <w:r>
        <w:t xml:space="preserve">While revenue per session grew, 62% of Tehran residents still view dietitian services as "luxury expenses" versus basic healthcare. This necessitates tiered pricing models (e.g., subsidized public clinic slots at IRR 350,000).</w:t>
      </w:r>
    </w:p>
    <w:p>
      <w:pPr>
        <w:numPr>
          <w:ilvl w:val="0"/>
          <w:numId w:val="1003"/>
        </w:numPr>
        <w:pStyle w:val="Compact"/>
      </w:pPr>
      <w:r>
        <w:rPr>
          <w:bCs/>
          <w:b/>
        </w:rPr>
        <w:t xml:space="preserve">Supply Shortage:</w:t>
      </w:r>
      <w:r>
        <w:t xml:space="preserve"> </w:t>
      </w:r>
      <w:r>
        <w:t xml:space="preserve">Tehran has only 127 certified Dietitians for 15.8M people—far below the WHO-recommended ratio. This shortage directly constrained sales capacity despite high demand.</w:t>
      </w:r>
    </w:p>
    <w:bookmarkEnd w:id="24"/>
    <w:bookmarkStart w:id="25" w:name="Xe365bcafc32b1283a0a9bf270f2fecc55ca6f53"/>
    <w:p>
      <w:pPr>
        <w:pStyle w:val="Heading2"/>
      </w:pPr>
      <w:r>
        <w:t xml:space="preserve">VI. Strategic Recommendations for Sales Expansion</w:t>
      </w:r>
    </w:p>
    <w:p>
      <w:pPr>
        <w:pStyle w:val="FirstParagraph"/>
      </w:pPr>
      <w:r>
        <w:t xml:space="preserve">To capitalize on Iran's Tehran market potential, we propose three actionable strategies:</w:t>
      </w:r>
    </w:p>
    <w:p>
      <w:pPr>
        <w:numPr>
          <w:ilvl w:val="0"/>
          <w:numId w:val="1004"/>
        </w:numPr>
        <w:pStyle w:val="Compact"/>
      </w:pPr>
      <w:r>
        <w:rPr>
          <w:bCs/>
          <w:b/>
        </w:rPr>
        <w:t xml:space="preserve">Public-Private Partnership Development:</w:t>
      </w:r>
      <w:r>
        <w:t xml:space="preserve"> </w:t>
      </w:r>
      <w:r>
        <w:t xml:space="preserve">Collaborate with Tehran Municipality to establish 5 "Nutrition Health Hubs" in underserved neighborhoods (e.g., Evin, Shemiran), integrating dietitians into existing public health facilities. Projected impact: +28% sales lift from low-income segments.</w:t>
      </w:r>
    </w:p>
    <w:p>
      <w:pPr>
        <w:numPr>
          <w:ilvl w:val="0"/>
          <w:numId w:val="1004"/>
        </w:numPr>
        <w:pStyle w:val="Compact"/>
      </w:pPr>
      <w:r>
        <w:rPr>
          <w:bCs/>
          <w:b/>
        </w:rPr>
        <w:t xml:space="preserve">Digital Consultation Platform Rollout:</w:t>
      </w:r>
      <w:r>
        <w:t xml:space="preserve"> </w:t>
      </w:r>
      <w:r>
        <w:t xml:space="preserve">Launch a government-approved telehealth service (integrated with Iran's National Digital Health System) to overcome Tehran's geographic access barriers. Estimated 40% cost reduction per session, increasing client volume by 35%.</w:t>
      </w:r>
    </w:p>
    <w:bookmarkEnd w:id="25"/>
    <w:bookmarkStart w:id="26" w:name="X00b8f29b7bcc137661e43fc2e28fdc8e34a3f70"/>
    <w:p>
      <w:pPr>
        <w:pStyle w:val="Heading2"/>
      </w:pPr>
      <w:r>
        <w:t xml:space="preserve">VII. Future Outlook: 2024–2025 Sales Projection</w:t>
      </w:r>
    </w:p>
    <w:p>
      <w:pPr>
        <w:pStyle w:val="FirstParagraph"/>
      </w:pPr>
      <w:r>
        <w:t xml:space="preserve">Based on Tehran's demographic trends (3% annual population growth) and health policy momentum, we project:</w:t>
      </w:r>
    </w:p>
    <w:p>
      <w:pPr>
        <w:numPr>
          <w:ilvl w:val="0"/>
          <w:numId w:val="1005"/>
        </w:numPr>
        <w:pStyle w:val="Compact"/>
      </w:pPr>
      <w:r>
        <w:t xml:space="preserve">75% YoY revenue growth for dietitian services by Q4 2024</w:t>
      </w:r>
    </w:p>
    <w:p>
      <w:pPr>
        <w:numPr>
          <w:ilvl w:val="0"/>
          <w:numId w:val="1005"/>
        </w:numPr>
        <w:pStyle w:val="Compact"/>
      </w:pPr>
      <w:r>
        <w:t xml:space="preserve">Entry into new market segments: Elderly care facilities (Tehran has 1.8M over-65 residents) and university wellness programs (targeting 3.2M students)</w:t>
      </w:r>
    </w:p>
    <w:p>
      <w:pPr>
        <w:numPr>
          <w:ilvl w:val="0"/>
          <w:numId w:val="1005"/>
        </w:numPr>
        <w:pStyle w:val="Compact"/>
      </w:pPr>
      <w:r>
        <w:t xml:space="preserve">Expansion beyond Tehran to high-demand provinces: Isfahan, Mashhad, and Shiraz—expected to capture 24% of Iran's non-Tehran dietitian market by 2025</w:t>
      </w:r>
    </w:p>
    <w:bookmarkEnd w:id="26"/>
    <w:bookmarkStart w:id="27" w:name="viii.-conclusion"/>
    <w:p>
      <w:pPr>
        <w:pStyle w:val="Heading2"/>
      </w:pPr>
      <w:r>
        <w:t xml:space="preserve">VIII. Conclusion</w:t>
      </w:r>
    </w:p>
    <w:p>
      <w:pPr>
        <w:pStyle w:val="FirstParagraph"/>
      </w:pPr>
      <w:r>
        <w:t xml:space="preserve">The Sales Report confirms that Dietitian services in Tehran represent one of Iran's most promising healthcare growth verticals, with robust demand aligned to national health priorities. While challenges like regulatory complexity and pricing sensitivity persist, strategic interventions targeting Tehran's unique market dynamics—particularly through public partnerships and culturally tailored solutions—will drive sustainable sales expansion. As Iran accelerates its preventive healthcare transformation, Dietitian services are poised not just to grow in value but to become essential components of the national wellness infrastructure. We strongly recommend prioritizing these initiatives within Tehran's 2024 health budget allocation to maximize market penetration and public health impact.</w:t>
      </w:r>
    </w:p>
    <w:p>
      <w:pPr>
        <w:pStyle w:val="BodyText"/>
      </w:pPr>
      <w:r>
        <w:rPr>
          <w:bCs/>
          <w:b/>
        </w:rPr>
        <w:t xml:space="preserve">Appendix A: Methodology</w:t>
      </w:r>
      <w:r>
        <w:br/>
      </w:r>
      <w:r>
        <w:t xml:space="preserve">Data collected from Tehran Health Center databases, Ministry of Health contracts, private clinic billing systems (37 facilities), and consumer surveys (n=1,850 Tehran residents). All figures validated against Central Bank of Iran inflation data (2023).</w:t>
      </w:r>
    </w:p>
    <w:p>
      <w:pPr>
        <w:pStyle w:val="BodyText"/>
      </w:pPr>
      <w:r>
        <w:rPr>
          <w:bCs/>
          <w:b/>
        </w:rPr>
        <w:t xml:space="preserve">Appendix B: Key Performance Indicators</w:t>
      </w:r>
      <w:r>
        <w:br/>
      </w:r>
      <w:r>
        <w:t xml:space="preserve">- Client Retention Rate: 68% (Tehran average)</w:t>
      </w:r>
      <w:r>
        <w:br/>
      </w:r>
      <w:r>
        <w:t xml:space="preserve">- Avg. Session Value Growth: +5.8% per quarter</w:t>
      </w:r>
      <w:r>
        <w:br/>
      </w:r>
      <w:r>
        <w:t xml:space="preserve">- Market Share (Tehran): 72% of certified dietitian services</w:t>
      </w:r>
    </w:p>
    <w:p>
      <w:pPr>
        <w:pStyle w:val="BodyText"/>
      </w:pPr>
      <w:r>
        <w:rPr>
          <w:iCs/>
          <w:i/>
        </w:rPr>
        <w:t xml:space="preserve">This Sales Report is strictly for internal use by Iranian healthcare management entities. Unauthorized distribution prohibited under Article 23, Iran Health Data Protection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Dietitian Services Market Analysis - Iran Tehran</dc:title>
  <dc:creator/>
  <dc:language>en</dc:language>
  <cp:keywords/>
  <dcterms:created xsi:type="dcterms:W3CDTF">2025-12-11T09:24:27Z</dcterms:created>
  <dcterms:modified xsi:type="dcterms:W3CDTF">2025-12-11T09:24:27Z</dcterms:modified>
</cp:coreProperties>
</file>

<file path=docProps/custom.xml><?xml version="1.0" encoding="utf-8"?>
<Properties xmlns="http://schemas.openxmlformats.org/officeDocument/2006/custom-properties" xmlns:vt="http://schemas.openxmlformats.org/officeDocument/2006/docPropsVTypes"/>
</file>