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7" w:name="Xfd46749aa517fe59d6f1bb07edb9f9bae5fd8e9"/>
    <w:p>
      <w:pPr>
        <w:pStyle w:val="Heading1"/>
      </w:pPr>
      <w:r>
        <w:t xml:space="preserve">Sales Report: Premium Dietitian Services Expansion in Israel Tel Aviv Market</w:t>
      </w:r>
    </w:p>
    <w:bookmarkStart w:id="20" w:name="executive-summary"/>
    <w:p>
      <w:pPr>
        <w:pStyle w:val="Heading2"/>
      </w:pPr>
      <w:r>
        <w:t xml:space="preserve">Executive Summary</w:t>
      </w:r>
    </w:p>
    <w:p>
      <w:pPr>
        <w:pStyle w:val="FirstParagraph"/>
      </w:pPr>
      <w:r>
        <w:t xml:space="preserve">This comprehensive Sales Report details the strategic expansion and performance metrics of our premium dietitian service offerings within the vibrant Israeli market, with particular focus on Tel Aviv. As Israel's economic and cultural hub, Tel Aviv presents unparalleled opportunities for specialized nutrition services driven by rising health consciousness, high disposable income levels, and a growing wellness culture. Our sales data from Q1-Q3 2023 demonstrates a 78% year-over-year revenue increase in the Tel Aviv region, solidifying our position as the leading dietitian service provider in this critical market segment.</w:t>
      </w:r>
    </w:p>
    <w:bookmarkEnd w:id="20"/>
    <w:bookmarkStart w:id="21" w:name="X85bd9bd891f80073d6c4b3ce8c96475506ec1b2"/>
    <w:p>
      <w:pPr>
        <w:pStyle w:val="Heading2"/>
      </w:pPr>
      <w:r>
        <w:t xml:space="preserve">Market Context: Israel Tel Aviv's Wellness Revolution</w:t>
      </w:r>
    </w:p>
    <w:p>
      <w:pPr>
        <w:pStyle w:val="FirstParagraph"/>
      </w:pPr>
      <w:r>
        <w:t xml:space="preserve">Israel Tel Aviv has emerged as a global wellness hotspot, with 68% of residents actively engaging in health-focused lifestyles (Israeli Ministry of Health, 2023). The city's unique demographic—comprising young professionals (ages 25-45), affluent expatriates, and tech industry innovators—creates ideal conditions for premium dietitian services. Tel Aviv's urban density enables efficient service delivery through our three flagship clinics in Rothschild Boulevard, Jaffa Port, and Florentin district. Competitor analysis reveals a 32% market gap in specialized nutrition services for diabetes management and sports performance—a key opportunity we've aggressively pursued.</w:t>
      </w:r>
    </w:p>
    <w:bookmarkEnd w:id="21"/>
    <w:bookmarkStart w:id="22" w:name="sales-performance-breakdown-q1-q3-2023"/>
    <w:p>
      <w:pPr>
        <w:pStyle w:val="Heading2"/>
      </w:pPr>
      <w:r>
        <w:t xml:space="preserve">Sales Performance Breakdown: Q1-Q3 2023</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Market Share (Tel Aviv)</w:t>
      </w:r>
    </w:p>
    <w:p>
      <w:pPr>
        <w:pStyle w:val="BodyText"/>
      </w:pPr>
      <w:r>
        <w:t xml:space="preserve">Corporate Wellness Programs</w:t>
      </w:r>
    </w:p>
    <w:p>
      <w:pPr>
        <w:pStyle w:val="BodyText"/>
      </w:pPr>
      <w:r>
        <w:t xml:space="preserve">1,450,000</w:t>
      </w:r>
    </w:p>
    <w:p>
      <w:pPr>
        <w:pStyle w:val="BodyText"/>
      </w:pPr>
      <w:r>
        <w:t xml:space="preserve">+63%</w:t>
      </w:r>
    </w:p>
    <w:p>
      <w:pPr>
        <w:pStyle w:val="BodyText"/>
      </w:pPr>
      <w:r>
        <w:t xml:space="preserve">41%</w:t>
      </w:r>
    </w:p>
    <w:p>
      <w:pPr>
        <w:pStyle w:val="BodyText"/>
      </w:pPr>
      <w:r>
        <w:t xml:space="preserve">Personalized Nutrition Plans</w:t>
      </w:r>
    </w:p>
    <w:p>
      <w:pPr>
        <w:pStyle w:val="BodyText"/>
      </w:pPr>
      <w:r>
        <w:t xml:space="preserve">2,875,000</w:t>
      </w:r>
    </w:p>
    <w:p>
      <w:pPr>
        <w:pStyle w:val="BodyText"/>
      </w:pPr>
      <w:r>
        <w:t xml:space="preserve">+92%</w:t>
      </w:r>
    </w:p>
    <w:p>
      <w:pPr>
        <w:pStyle w:val="BodyText"/>
      </w:pPr>
      <w:r>
        <w:br/>
      </w:r>
    </w:p>
    <w:p>
      <w:pPr>
        <w:pStyle w:val="BodyText"/>
      </w:pPr>
      <w:r>
        <w:t xml:space="preserve">57%</w:t>
      </w:r>
    </w:p>
    <w:p>
      <w:pPr>
        <w:pStyle w:val="BodyText"/>
      </w:pPr>
      <w:r>
        <w:br/>
      </w:r>
    </w:p>
    <w:p>
      <w:pPr>
        <w:pStyle w:val="BodyText"/>
      </w:pPr>
      <w:r>
        <w:t xml:space="preserve">Diabetes Management Programs</w:t>
      </w:r>
    </w:p>
    <w:p>
      <w:pPr>
        <w:pStyle w:val="BodyText"/>
      </w:pPr>
      <w:r>
        <w:t xml:space="preserve">945,000</w:t>
      </w:r>
    </w:p>
    <w:p>
      <w:pPr>
        <w:pStyle w:val="BodyText"/>
      </w:pPr>
      <w:r>
        <w:t xml:space="preserve">+118%</w:t>
      </w:r>
    </w:p>
    <w:p>
      <w:pPr>
        <w:pStyle w:val="BodyText"/>
      </w:pPr>
      <w:r>
        <w:t xml:space="preserve">63%</w:t>
      </w:r>
    </w:p>
    <w:p>
      <w:pPr>
        <w:pStyle w:val="BodyText"/>
      </w:pPr>
      <w:r>
        <w:t xml:space="preserve">Total Tel Aviv Revenue</w:t>
      </w:r>
    </w:p>
    <w:p>
      <w:pPr>
        <w:pStyle w:val="BodyText"/>
      </w:pPr>
      <w:r>
        <w:rPr>
          <w:bCs/>
          <w:b/>
        </w:rPr>
        <w:t xml:space="preserve">5,270,000</w:t>
      </w:r>
    </w:p>
    <w:p>
      <w:pPr>
        <w:pStyle w:val="BodyText"/>
      </w:pPr>
      <w:r>
        <w:rPr>
          <w:bCs/>
          <w:b/>
        </w:rPr>
        <w:t xml:space="preserve">+78% YoY</w:t>
      </w:r>
    </w:p>
    <w:p>
      <w:pPr>
        <w:pStyle w:val="BodyText"/>
      </w:pPr>
      <w:r>
        <w:rPr>
          <w:bCs/>
          <w:b/>
        </w:rPr>
        <w:t xml:space="preserve">52%</w:t>
      </w:r>
    </w:p>
    <w:p>
      <w:pPr>
        <w:pStyle w:val="BodyText"/>
      </w:pPr>
      <w:r>
        <w:t xml:space="preserve">The most significant growth driver has been our corporate partnership with Tel Aviv's tech ecosystem. We secured contracts with 14 major startups (including leading fintech and biotech firms) through our "Wellness at Work" initiative, generating ₪720,000 in recurring revenue. Additionally, our Hebrew/English bilingual dietitian team—comprising 8 certified specialists accredited by the Israeli Dietitians Association—has been instrumental in capturing market share from competitors.</w:t>
      </w:r>
    </w:p>
    <w:bookmarkEnd w:id="22"/>
    <w:bookmarkStart w:id="23" w:name="strategic-success-factors"/>
    <w:p>
      <w:pPr>
        <w:pStyle w:val="Heading2"/>
      </w:pPr>
      <w:r>
        <w:t xml:space="preserve">Strategic Success Factors</w:t>
      </w:r>
    </w:p>
    <w:p>
      <w:pPr>
        <w:pStyle w:val="FirstParagraph"/>
      </w:pPr>
      <w:r>
        <w:t xml:space="preserve">Three key strategies propelled our Tel Aviv sales success:</w:t>
      </w:r>
    </w:p>
    <w:p>
      <w:pPr>
        <w:numPr>
          <w:ilvl w:val="0"/>
          <w:numId w:val="1001"/>
        </w:numPr>
        <w:pStyle w:val="Compact"/>
      </w:pPr>
      <w:r>
        <w:rPr>
          <w:bCs/>
          <w:b/>
        </w:rPr>
        <w:t xml:space="preserve">Cultural Integration:</w:t>
      </w:r>
      <w:r>
        <w:t xml:space="preserve"> </w:t>
      </w:r>
      <w:r>
        <w:t xml:space="preserve">We developed culturally nuanced nutrition plans addressing Israeli dietary preferences (e.g., incorporating hummus, za'atar, and Mediterranean seafood into meal plans while adhering to medical guidelines). Our "Mediterranean Wellness" package saw 200% higher retention than standard programs.</w:t>
      </w:r>
    </w:p>
    <w:p>
      <w:pPr>
        <w:numPr>
          <w:ilvl w:val="0"/>
          <w:numId w:val="1001"/>
        </w:numPr>
        <w:pStyle w:val="Compact"/>
      </w:pPr>
      <w:r>
        <w:rPr>
          <w:bCs/>
          <w:b/>
        </w:rPr>
        <w:t xml:space="preserve">Tech-Enhanced Service Delivery:</w:t>
      </w:r>
      <w:r>
        <w:t xml:space="preserve"> </w:t>
      </w:r>
      <w:r>
        <w:t xml:space="preserve">Our Tel Aviv clients now access AI-powered food logging via our app, integrated with Fitbit/Apple Health. This digital experience reduced no-show rates by 34% and increased client satisfaction scores to 92% (compared to industry average of 68%).</w:t>
      </w:r>
    </w:p>
    <w:p>
      <w:pPr>
        <w:numPr>
          <w:ilvl w:val="0"/>
          <w:numId w:val="1001"/>
        </w:numPr>
        <w:pStyle w:val="Compact"/>
      </w:pPr>
      <w:r>
        <w:rPr>
          <w:bCs/>
          <w:b/>
        </w:rPr>
        <w:t xml:space="preserve">Community Partnerships:</w:t>
      </w:r>
      <w:r>
        <w:t xml:space="preserve"> </w:t>
      </w:r>
      <w:r>
        <w:t xml:space="preserve">Strategic collaborations with Tel Aviv's renowned restaurants (like 'Mammon' in Neve Tzedek) and fitness centers (including 'Bodystyle' gyms) generated 42% of new leads through co-branded wellness events.</w:t>
      </w:r>
    </w:p>
    <w:bookmarkEnd w:id="23"/>
    <w:bookmarkStart w:id="24" w:name="overcoming-israel-specific-challenges"/>
    <w:p>
      <w:pPr>
        <w:pStyle w:val="Heading2"/>
      </w:pPr>
      <w:r>
        <w:t xml:space="preserve">Overcoming Israel-Specific Challenges</w:t>
      </w:r>
    </w:p>
    <w:p>
      <w:pPr>
        <w:pStyle w:val="FirstParagraph"/>
      </w:pPr>
      <w:r>
        <w:t xml:space="preserve">Navigating the Israel Tel Aviv market presented unique hurdles. The strict Israeli health regulations required us to obtain additional certification for all dietitian protocols within 60 days of entering the market—a process we accelerated through partnerships with Tel Aviv Medical Center. We also addressed cultural nuances: initially, traditional Israeli families viewed personalized diet plans as "medical" (not wellness), so our sales team implemented educational workshops at community centers in Neve Tzedek and Mea Shearim, emphasizing preventive nutrition.</w:t>
      </w:r>
    </w:p>
    <w:bookmarkEnd w:id="24"/>
    <w:bookmarkStart w:id="25" w:name="X734a610a3cc1fcfe477e011cc25ae36db8b959c"/>
    <w:p>
      <w:pPr>
        <w:pStyle w:val="Heading2"/>
      </w:pPr>
      <w:r>
        <w:t xml:space="preserve">Future Sales Projections for Israel Tel Aviv</w:t>
      </w:r>
    </w:p>
    <w:p>
      <w:pPr>
        <w:pStyle w:val="FirstParagraph"/>
      </w:pPr>
      <w:r>
        <w:t xml:space="preserve">Our aggressive expansion plan targets ₪10.8 million revenue in Tel Aviv by Q4 2024 (56% YoY growth), driven by:</w:t>
      </w:r>
    </w:p>
    <w:p>
      <w:pPr>
        <w:numPr>
          <w:ilvl w:val="0"/>
          <w:numId w:val="1002"/>
        </w:numPr>
        <w:pStyle w:val="Compact"/>
      </w:pPr>
      <w:r>
        <w:rPr>
          <w:bCs/>
          <w:b/>
        </w:rPr>
        <w:t xml:space="preserve">Insurance Partnerships:</w:t>
      </w:r>
      <w:r>
        <w:t xml:space="preserve"> </w:t>
      </w:r>
      <w:r>
        <w:t xml:space="preserve">Finalizing agreements with Clalit Health Services to cover 75% of dietitian services for diabetes patients—a move projected to add ₪1.2 million in monthly recurring revenue.</w:t>
      </w:r>
    </w:p>
    <w:p>
      <w:pPr>
        <w:numPr>
          <w:ilvl w:val="0"/>
          <w:numId w:val="1002"/>
        </w:numPr>
        <w:pStyle w:val="Compact"/>
      </w:pPr>
      <w:r>
        <w:rPr>
          <w:bCs/>
          <w:b/>
        </w:rPr>
        <w:t xml:space="preserve">Targeted Digital Campaigns:</w:t>
      </w:r>
      <w:r>
        <w:t xml:space="preserve"> </w:t>
      </w:r>
      <w:r>
        <w:t xml:space="preserve">Geo-fenced social media ads in Tel Aviv focusing on high-income neighborhoods (Ramat Gan, Ramat HaSharon) targeting professionals aged 30-50.</w:t>
      </w:r>
    </w:p>
    <w:p>
      <w:pPr>
        <w:numPr>
          <w:ilvl w:val="0"/>
          <w:numId w:val="1002"/>
        </w:numPr>
        <w:pStyle w:val="Compact"/>
      </w:pPr>
      <w:r>
        <w:rPr>
          <w:bCs/>
          <w:b/>
        </w:rPr>
        <w:t xml:space="preserve">New Service Lines:</w:t>
      </w:r>
      <w:r>
        <w:t xml:space="preserve"> </w:t>
      </w:r>
      <w:r>
        <w:t xml:space="preserve">Launching 'Tel Aviv Vegan Nutrition' packages catering to the city's rapidly growing plant-based community (28% of residents now identify as vegetarian/vegan).</w:t>
      </w:r>
    </w:p>
    <w:bookmarkEnd w:id="25"/>
    <w:bookmarkStart w:id="26" w:name="X461090e51bdba4bd51ee33f39a64ed52b84bae7"/>
    <w:p>
      <w:pPr>
        <w:pStyle w:val="Heading2"/>
      </w:pPr>
      <w:r>
        <w:t xml:space="preserve">Conclusion: Leading Israel Tel Aviv's Nutritional Transformation</w:t>
      </w:r>
    </w:p>
    <w:p>
      <w:pPr>
        <w:pStyle w:val="FirstParagraph"/>
      </w:pPr>
      <w:r>
        <w:t xml:space="preserve">This Sales Report confirms that our dietitian services have become an indispensable component of Tel Aviv's health ecosystem. The city's unique blend of innovation, cultural richness, and health consciousness provides a perfect foundation for sustainable growth. Our strategic focus on Israel-specific dietary needs—combined with seamless digital integration and community-centric partnerships—has positioned us as the preferred dietitian provider in Tel Aviv.</w:t>
      </w:r>
    </w:p>
    <w:p>
      <w:pPr>
        <w:pStyle w:val="BodyText"/>
      </w:pPr>
      <w:r>
        <w:t xml:space="preserve">As we enter 2024, our priority is scaling the successful Tel Aviv model across other Israeli cities (Jerusalem, Haifa) while doubling down on our flagship market. The data is unequivocal: When dietitian services are culturally attuned to Israel's vibrant urban landscape—particularly in Tel Aviv—they don't just meet demand; they redefine industry standards. We project that by Q2 2024, our Tel Aviv market share will reach 65%, driven by continued innovation and deepening community integration.</w:t>
      </w:r>
    </w:p>
    <w:p>
      <w:pPr>
        <w:pStyle w:val="BodyText"/>
      </w:pPr>
      <w:r>
        <w:rPr>
          <w:iCs/>
          <w:i/>
        </w:rPr>
        <w:t xml:space="preserve">Prepared for: Executive Leadership | Date: October 17, 2023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Israel Tel Aviv Market Analysis</dc:title>
  <dc:creator/>
  <dc:language>en</dc:language>
  <cp:keywords/>
  <dcterms:created xsi:type="dcterms:W3CDTF">2025-12-12T17:34:17Z</dcterms:created>
  <dcterms:modified xsi:type="dcterms:W3CDTF">2025-12-12T17:34:17Z</dcterms:modified>
</cp:coreProperties>
</file>

<file path=docProps/custom.xml><?xml version="1.0" encoding="utf-8"?>
<Properties xmlns="http://schemas.openxmlformats.org/officeDocument/2006/custom-properties" xmlns:vt="http://schemas.openxmlformats.org/officeDocument/2006/docPropsVTypes"/>
</file>