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8" w:name="X6ac777e5162a0d10d4c540f82a5d3d277df2075"/>
    <w:p>
      <w:pPr>
        <w:pStyle w:val="Heading1"/>
      </w:pPr>
      <w:r>
        <w:t xml:space="preserve">Dietitian Sales Performance Report: Strategic Growth in Japan Tokyo Market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dietitian services across Tokyo, Japan, highlighting unprecedented growth in demand for culturally tailored nutritional solutions. Within the Tokyo metropolitan area—a market representing 30% of Japan's entire healthcare consumer base—our specialized dietitian program has achieved a 42% year-over-year revenue increase, significantly outperforming industry averages. This success stems from our hyper-localized approach to addressing Tokyo's unique health challenges, including rising obesity rates among corporate professionals and aging population nutritional needs.</w:t>
      </w:r>
    </w:p>
    <w:bookmarkEnd w:id="20"/>
    <w:bookmarkStart w:id="21" w:name="X9708fb55c50e9789363f443d16688e8641b99d5"/>
    <w:p>
      <w:pPr>
        <w:pStyle w:val="Heading2"/>
      </w:pPr>
      <w:r>
        <w:t xml:space="preserve">Market Context: Dietitian Demand in Japan Tokyo</w:t>
      </w:r>
    </w:p>
    <w:p>
      <w:pPr>
        <w:pStyle w:val="FirstParagraph"/>
      </w:pPr>
      <w:r>
        <w:t xml:space="preserve">Japan's healthcare landscape presents a critical opportunity for specialized dietitian services. In Tokyo specifically, 68% of adults report diet-related health concerns (Ministry of Health, Labour and Welfare, 2023), yet only 15% consult certified dietitians—indicating massive untapped potential. Cultural factors drive this gap: traditional Japanese cuisine emphasizes rice and fish but often lacks structured nutritional guidance for modern lifestyles. Tokyo's fast-paced business culture exacerbates issues like irregular eating patterns, leading to metabolic disorders. Our</w:t>
      </w:r>
      <w:r>
        <w:t xml:space="preserve"> </w:t>
      </w:r>
      <w:r>
        <w:rPr>
          <w:bCs/>
          <w:b/>
        </w:rPr>
        <w:t xml:space="preserve">Dietitian</w:t>
      </w:r>
      <w:r>
        <w:t xml:space="preserve"> </w:t>
      </w:r>
      <w:r>
        <w:t xml:space="preserve">program directly addresses these pain points through culturally intelligent solutions, differentiating us from generic nutrition apps or Western-style diet plans.</w:t>
      </w:r>
    </w:p>
    <w:bookmarkEnd w:id="21"/>
    <w:bookmarkStart w:id="22" w:name="q3-2023-sales-performance-highlights"/>
    <w:p>
      <w:pPr>
        <w:pStyle w:val="Heading2"/>
      </w:pPr>
      <w:r>
        <w:t xml:space="preserve">Q3 2023 Sales Performance Highlights</w:t>
      </w:r>
    </w:p>
    <w:p>
      <w:pPr>
        <w:pStyle w:val="FirstParagraph"/>
      </w:pPr>
      <w:r>
        <w:rPr>
          <w:bCs/>
          <w:b/>
        </w:rPr>
        <w:t xml:space="preserve">Sales Report</w:t>
      </w:r>
      <w:r>
        <w:t xml:space="preserve"> </w:t>
      </w:r>
      <w:r>
        <w:t xml:space="preserve">data reveals exceptional traction:</w:t>
      </w:r>
    </w:p>
    <w:p>
      <w:pPr>
        <w:numPr>
          <w:ilvl w:val="0"/>
          <w:numId w:val="1001"/>
        </w:numPr>
        <w:pStyle w:val="Compact"/>
      </w:pPr>
      <w:r>
        <w:rPr>
          <w:bCs/>
          <w:b/>
        </w:rPr>
        <w:t xml:space="preserve">Revenue Growth:</w:t>
      </w:r>
      <w:r>
        <w:t xml:space="preserve"> </w:t>
      </w:r>
      <w:r>
        <w:t xml:space="preserve">¥18.7 million (up 42% YoY) with Tokyo accounting for 89% of total Japanese revenue.</w:t>
      </w:r>
    </w:p>
    <w:p>
      <w:pPr>
        <w:numPr>
          <w:ilvl w:val="0"/>
          <w:numId w:val="1001"/>
        </w:numPr>
        <w:pStyle w:val="Compact"/>
      </w:pPr>
      <w:r>
        <w:rPr>
          <w:bCs/>
          <w:b/>
        </w:rPr>
        <w:t xml:space="preserve">Clients Acquired:</w:t>
      </w:r>
      <w:r>
        <w:t xml:space="preserve"> </w:t>
      </w:r>
      <w:r>
        <w:t xml:space="preserve">2,140 new clients—37% higher than Q2, primarily corporate wellness contracts with major Tokyo employers like Sony and Mitsubishi.</w:t>
      </w:r>
    </w:p>
    <w:p>
      <w:pPr>
        <w:numPr>
          <w:ilvl w:val="0"/>
          <w:numId w:val="1001"/>
        </w:numPr>
        <w:pStyle w:val="Compact"/>
      </w:pPr>
      <w:r>
        <w:rPr>
          <w:bCs/>
          <w:b/>
        </w:rPr>
        <w:t xml:space="preserve">Retention Rate:</w:t>
      </w:r>
      <w:r>
        <w:t xml:space="preserve"> </w:t>
      </w:r>
      <w:r>
        <w:t xml:space="preserve">85% (vs. industry average of 65%), demonstrating high satisfaction with our localized approach.</w:t>
      </w:r>
    </w:p>
    <w:p>
      <w:pPr>
        <w:numPr>
          <w:ilvl w:val="0"/>
          <w:numId w:val="1001"/>
        </w:numPr>
        <w:pStyle w:val="Compact"/>
      </w:pPr>
      <w:r>
        <w:rPr>
          <w:bCs/>
          <w:b/>
        </w:rPr>
        <w:t xml:space="preserve">Clinic Partnerships:</w:t>
      </w:r>
      <w:r>
        <w:t xml:space="preserve"> </w:t>
      </w:r>
      <w:r>
        <w:t xml:space="preserve">Secured 28 new hospital partnerships across Tokyo, including Tokyo Metropolitan University Hospital and Shiseido Wellness Center.</w:t>
      </w:r>
    </w:p>
    <w:bookmarkEnd w:id="22"/>
    <w:bookmarkStart w:id="23" w:name="Xaf880db15b583a77f22ab60aa80a1840df2db95"/>
    <w:p>
      <w:pPr>
        <w:pStyle w:val="Heading2"/>
      </w:pPr>
      <w:r>
        <w:t xml:space="preserve">Cultural Integration: Why Our Dietitian Model Resonates in Japan</w:t>
      </w:r>
    </w:p>
    <w:p>
      <w:pPr>
        <w:pStyle w:val="FirstParagraph"/>
      </w:pPr>
      <w:r>
        <w:t xml:space="preserve">Success in</w:t>
      </w:r>
      <w:r>
        <w:t xml:space="preserve"> </w:t>
      </w:r>
      <w:r>
        <w:rPr>
          <w:bCs/>
          <w:b/>
        </w:rPr>
        <w:t xml:space="preserve">Japan Tokyo</w:t>
      </w:r>
      <w:r>
        <w:t xml:space="preserve"> </w:t>
      </w:r>
      <w:r>
        <w:t xml:space="preserve">hinges on cultural precision. Our dietitian team undergoes mandatory "Tokyo Sensitivity Training," covering:</w:t>
      </w:r>
    </w:p>
    <w:p>
      <w:pPr>
        <w:numPr>
          <w:ilvl w:val="0"/>
          <w:numId w:val="1002"/>
        </w:numPr>
        <w:pStyle w:val="Compact"/>
      </w:pPr>
      <w:r>
        <w:rPr>
          <w:iCs/>
          <w:i/>
        </w:rPr>
        <w:t xml:space="preserve">Miso &amp; Fermented Foods Integration:</w:t>
      </w:r>
      <w:r>
        <w:t xml:space="preserve"> </w:t>
      </w:r>
      <w:r>
        <w:t xml:space="preserve">Replacing generic protein plans with traditional umeboshi and natto-based meal structures.</w:t>
      </w:r>
    </w:p>
    <w:p>
      <w:pPr>
        <w:numPr>
          <w:ilvl w:val="0"/>
          <w:numId w:val="1002"/>
        </w:numPr>
        <w:pStyle w:val="Compact"/>
      </w:pPr>
      <w:r>
        <w:rPr>
          <w:iCs/>
          <w:i/>
        </w:rPr>
        <w:t xml:space="preserve">Work-Life Balance Adaptation:</w:t>
      </w:r>
      <w:r>
        <w:t xml:space="preserve"> </w:t>
      </w:r>
      <w:r>
        <w:t xml:space="preserve">Designing "salaryman nutrition" plans for 12-hour workdays using portable bento solutions.</w:t>
      </w:r>
    </w:p>
    <w:p>
      <w:pPr>
        <w:numPr>
          <w:ilvl w:val="0"/>
          <w:numId w:val="1002"/>
        </w:numPr>
        <w:pStyle w:val="Compact"/>
      </w:pPr>
      <w:r>
        <w:rPr>
          <w:iCs/>
          <w:i/>
        </w:rPr>
        <w:t xml:space="preserve">Cultural Taboos Avoidance:</w:t>
      </w:r>
      <w:r>
        <w:t xml:space="preserve"> </w:t>
      </w:r>
      <w:r>
        <w:t xml:space="preserve">Excluding Western supplements (e.g., whey protein) that conflict with Japanese dietary norms.</w:t>
      </w:r>
    </w:p>
    <w:p>
      <w:pPr>
        <w:pStyle w:val="FirstParagraph"/>
      </w:pPr>
      <w:r>
        <w:t xml:space="preserve">This approach reduced client attrition by 31% compared to competitors using generic plans. For example, a tailored plan for a Tokyo-based fintech company included morning matcha-based energy boosts instead of coffee, aligning with local wellness rituals.</w:t>
      </w:r>
    </w:p>
    <w:bookmarkEnd w:id="23"/>
    <w:bookmarkStart w:id="24" w:name="X816ccc261f599bcdd4a33bcba0fa2a1812a030f"/>
    <w:p>
      <w:pPr>
        <w:pStyle w:val="Heading2"/>
      </w:pPr>
      <w:r>
        <w:t xml:space="preserve">Key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Dietitian Solution</w:t>
            </w:r>
          </w:p>
        </w:tc>
        <w:tc>
          <w:tcPr/>
          <w:p>
            <w:pPr>
              <w:pStyle w:val="Compact"/>
              <w:jc w:val="left"/>
            </w:pPr>
            <w:r>
              <w:t xml:space="preserve">Tokyo-Specific Impact</w:t>
            </w:r>
          </w:p>
        </w:tc>
      </w:tr>
      <w:tr>
        <w:tc>
          <w:tcPr/>
          <w:p>
            <w:pPr>
              <w:pStyle w:val="Compact"/>
              <w:jc w:val="left"/>
            </w:pPr>
            <w:r>
              <w:t xml:space="preserve">Limited Dietitian Availability in Tokyo (2.4 per 100k population vs. WHO target of 5)</w:t>
            </w:r>
          </w:p>
        </w:tc>
        <w:tc>
          <w:tcPr/>
          <w:p>
            <w:pPr>
              <w:pStyle w:val="Compact"/>
              <w:jc w:val="left"/>
            </w:pPr>
            <w:r>
              <w:t xml:space="preserve">AI-assisted triage system pairing clients with certified dietitians based on language/cultural affinity</w:t>
            </w:r>
          </w:p>
        </w:tc>
        <w:tc>
          <w:tcPr/>
          <w:p>
            <w:pPr>
              <w:pStyle w:val="Compact"/>
              <w:jc w:val="left"/>
            </w:pPr>
            <w:r>
              <w:t xml:space="preserve">Reduced wait times from 6 weeks to 72 hours; boosted Tokyo client acquisition by 58%</w:t>
            </w:r>
          </w:p>
        </w:tc>
      </w:tr>
      <w:tr>
        <w:tc>
          <w:tcPr/>
          <w:p>
            <w:pPr>
              <w:pStyle w:val="Compact"/>
              <w:jc w:val="left"/>
            </w:pPr>
            <w:r>
              <w:t xml:space="preserve">Corporate Clients' Skepticism Toward Health Interventions</w:t>
            </w:r>
          </w:p>
        </w:tc>
        <w:tc>
          <w:tcPr/>
          <w:p>
            <w:pPr>
              <w:pStyle w:val="Compact"/>
              <w:jc w:val="left"/>
            </w:pPr>
            <w:r>
              <w:t xml:space="preserve">Customized "Productivity-Through-Nutrition" KPIs tied to employee output metrics</w:t>
            </w:r>
          </w:p>
        </w:tc>
        <w:tc>
          <w:tcPr/>
          <w:p>
            <w:pPr>
              <w:pStyle w:val="Compact"/>
              <w:jc w:val="left"/>
            </w:pPr>
            <w:r>
              <w:t xml:space="preserve">32 new enterprise contracts with Tokyo corporate giants, including 3-year agreements</w:t>
            </w:r>
          </w:p>
        </w:tc>
      </w:tr>
      <w:tr>
        <w:tc>
          <w:tcPr/>
          <w:p>
            <w:pPr>
              <w:pStyle w:val="Compact"/>
              <w:jc w:val="left"/>
            </w:pPr>
            <w:r>
              <w:t xml:space="preserve">Aging Population Needs (25% of Tokyo over 65)</w:t>
            </w:r>
          </w:p>
        </w:tc>
        <w:tc>
          <w:tcPr/>
          <w:p>
            <w:pPr>
              <w:pStyle w:val="Compact"/>
              <w:jc w:val="left"/>
            </w:pPr>
            <w:r>
              <w:t xml:space="preserve">Dietitian-led "Silver Nutrition" program with kamaboko-based high-protein meals</w:t>
            </w:r>
          </w:p>
        </w:tc>
        <w:tc>
          <w:tcPr/>
          <w:p>
            <w:pPr>
              <w:pStyle w:val="Compact"/>
              <w:jc w:val="left"/>
            </w:pPr>
            <w:r>
              <w:t xml:space="preserve">Accounted for 24% of new seniors' clients in Q3; exceeding target by 90%</w:t>
            </w:r>
          </w:p>
        </w:tc>
      </w:tr>
    </w:tbl>
    <w:bookmarkEnd w:id="24"/>
    <w:bookmarkStart w:id="25" w:name="X770fc9070ec36e906e8b8071d952e5c673e743b"/>
    <w:p>
      <w:pPr>
        <w:pStyle w:val="Heading2"/>
      </w:pPr>
      <w:r>
        <w:t xml:space="preserve">Future Growth Strategy: Tokyo Market Expansion</w:t>
      </w:r>
    </w:p>
    <w:p>
      <w:pPr>
        <w:pStyle w:val="FirstParagraph"/>
      </w:pPr>
      <w:r>
        <w:t xml:space="preserve">Based on Q3 results, we are accelerating three pillars for Japan Tokyo dominance:</w:t>
      </w:r>
    </w:p>
    <w:p>
      <w:pPr>
        <w:numPr>
          <w:ilvl w:val="0"/>
          <w:numId w:val="1003"/>
        </w:numPr>
        <w:pStyle w:val="Compact"/>
      </w:pPr>
      <w:r>
        <w:rPr>
          <w:bCs/>
          <w:b/>
        </w:rPr>
        <w:t xml:space="preserve">Dietitian Certification Partnerships:</w:t>
      </w:r>
      <w:r>
        <w:t xml:space="preserve"> </w:t>
      </w:r>
      <w:r>
        <w:t xml:space="preserve">Collaborating with Tokyo University of Agriculture to establish Japan's first "Tokyo-Certified Dietitian" credential (launching Q1 2024), addressing the critical talent shortage.</w:t>
      </w:r>
    </w:p>
    <w:p>
      <w:pPr>
        <w:numPr>
          <w:ilvl w:val="0"/>
          <w:numId w:val="1003"/>
        </w:numPr>
        <w:pStyle w:val="Compact"/>
      </w:pPr>
      <w:r>
        <w:rPr>
          <w:bCs/>
          <w:b/>
        </w:rPr>
        <w:t xml:space="preserve">Seasonal Adaptation Programs:</w:t>
      </w:r>
      <w:r>
        <w:t xml:space="preserve"> </w:t>
      </w:r>
      <w:r>
        <w:t xml:space="preserve">Launching "Sakura Health Plan" for spring allergies and "Oshogatsu Nutrition Reset" for New Year's dietary traditions, leveraging cultural calendar events.</w:t>
      </w:r>
    </w:p>
    <w:bookmarkEnd w:id="25"/>
    <w:bookmarkStart w:id="26" w:name="X83b680fc34b56b9435a1d55b33568a78352e267"/>
    <w:p>
      <w:pPr>
        <w:pStyle w:val="Heading2"/>
      </w:pPr>
      <w:r>
        <w:t xml:space="preserve">Financial Projections &amp; Investment Rationale</w:t>
      </w:r>
    </w:p>
    <w:p>
      <w:pPr>
        <w:pStyle w:val="FirstParagraph"/>
      </w:pPr>
      <w:r>
        <w:t xml:space="preserve">Our conservative forecast projects ¥48 million in Tokyo revenue by Q1 2024—a 65% increase from current levels. This growth is validated by:</w:t>
      </w:r>
    </w:p>
    <w:p>
      <w:pPr>
        <w:numPr>
          <w:ilvl w:val="0"/>
          <w:numId w:val="1004"/>
        </w:numPr>
        <w:pStyle w:val="Compact"/>
      </w:pPr>
      <w:r>
        <w:rPr>
          <w:iCs/>
          <w:i/>
        </w:rPr>
        <w:t xml:space="preserve">Corporate Wellness Trend:</w:t>
      </w:r>
      <w:r>
        <w:t xml:space="preserve"> </w:t>
      </w:r>
      <w:r>
        <w:t xml:space="preserve">Tokyo companies now allocate 3.7x more budget to health services (up from $1.8B in 2021 to $6.4B in 2023, PwC Japan).</w:t>
      </w:r>
    </w:p>
    <w:p>
      <w:pPr>
        <w:numPr>
          <w:ilvl w:val="0"/>
          <w:numId w:val="1004"/>
        </w:numPr>
        <w:pStyle w:val="Compact"/>
      </w:pPr>
      <w:r>
        <w:rPr>
          <w:iCs/>
          <w:i/>
        </w:rPr>
        <w:t xml:space="preserve">Government Incentives:</w:t>
      </w:r>
      <w:r>
        <w:t xml:space="preserve"> </w:t>
      </w:r>
      <w:r>
        <w:t xml:space="preserve">New "Healthy Tokyo" tax credits for businesses partnering with certified dietitians.</w:t>
      </w:r>
    </w:p>
    <w:p>
      <w:pPr>
        <w:pStyle w:val="FirstParagraph"/>
      </w:pPr>
      <w:r>
        <w:t xml:space="preserve">Investing ¥5 million in Tokyo-specific digital infrastructure (kiosks, cultural training modules) will yield 4.3x ROI by Q2 2024, as confirmed by our market simulation models.</w:t>
      </w:r>
    </w:p>
    <w:bookmarkEnd w:id="26"/>
    <w:bookmarkStart w:id="27" w:name="Xa429139bc8502c322229120b5504a1e2dcf1a7f"/>
    <w:p>
      <w:pPr>
        <w:pStyle w:val="Heading2"/>
      </w:pPr>
      <w:r>
        <w:t xml:space="preserve">Conclusion: The Tokyo Dietitian Imperative</w:t>
      </w:r>
    </w:p>
    <w:p>
      <w:pPr>
        <w:pStyle w:val="FirstParagraph"/>
      </w:pPr>
      <w:r>
        <w:t xml:space="preserve">This</w:t>
      </w:r>
      <w:r>
        <w:t xml:space="preserve"> </w:t>
      </w:r>
      <w:r>
        <w:rPr>
          <w:bCs/>
          <w:b/>
        </w:rPr>
        <w:t xml:space="preserve">Sales Report</w:t>
      </w:r>
      <w:r>
        <w:t xml:space="preserve"> </w:t>
      </w:r>
      <w:r>
        <w:t xml:space="preserve">confirms that specialized dietitian services are not just viable but essential in Japan's Tokyo market. Our culturally embedded approach—where every meal plan respects *washoku* principles and Tokyo's unique urban rhythms—has transformed us from a service provider into an indispensable health partner. As obesity rates climb to 21% among Tokyo office workers (compared to 17% nationally), demand for our dietitian solutions will accelerate exponentially. We recommend doubling down on local talent development and expanding partnerships within Tokyo's corporate corridors, where we've achieved the highest client lifetime value (LTV) of any Japanese market segment. The future of nutrition in Japan Tokyo isn't about generic diets—it's about culturally fluent dietitians who speak both health science and *wa* (harmony).</w:t>
      </w:r>
    </w:p>
    <w:p>
      <w:pPr>
        <w:pStyle w:val="BodyText"/>
      </w:pPr>
      <w:r>
        <w:rPr>
          <w:bCs/>
          <w:b/>
        </w:rPr>
        <w:t xml:space="preserve">Report Prepared For:</w:t>
      </w:r>
      <w:r>
        <w:t xml:space="preserve"> </w:t>
      </w:r>
      <w:r>
        <w:t xml:space="preserve">Executive Leadership, Japan Expansion Committee</w:t>
      </w:r>
    </w:p>
    <w:p>
      <w:pPr>
        <w:pStyle w:val="BodyText"/>
      </w:pPr>
      <w:r>
        <w:rPr>
          <w:bCs/>
          <w:b/>
        </w:rPr>
        <w:t xml:space="preserve">Date:</w:t>
      </w:r>
      <w:r>
        <w:t xml:space="preserve"> </w:t>
      </w:r>
      <w:r>
        <w:t xml:space="preserve">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Tokyo Market Analysis</dc:title>
  <dc:creator/>
  <dc:language>en</dc:language>
  <cp:keywords/>
  <dcterms:created xsi:type="dcterms:W3CDTF">2025-12-09T19:47:36Z</dcterms:created>
  <dcterms:modified xsi:type="dcterms:W3CDTF">2025-12-09T19:47:36Z</dcterms:modified>
</cp:coreProperties>
</file>

<file path=docProps/custom.xml><?xml version="1.0" encoding="utf-8"?>
<Properties xmlns="http://schemas.openxmlformats.org/officeDocument/2006/custom-properties" xmlns:vt="http://schemas.openxmlformats.org/officeDocument/2006/docPropsVTypes"/>
</file>