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a44c0aa30e461b55b61032b9782e6a7e3d510c3"/>
    <w:p>
      <w:pPr>
        <w:pStyle w:val="Heading1"/>
      </w:pPr>
      <w:r>
        <w:t xml:space="preserve">Comprehensive Sales Report: Dietitian Service Performance in Malaysia Kuala Lumpur (Q3 2023)</w:t>
      </w:r>
    </w:p>
    <w:bookmarkStart w:id="20" w:name="executive-summary"/>
    <w:p>
      <w:pPr>
        <w:pStyle w:val="Heading2"/>
      </w:pPr>
      <w:r>
        <w:t xml:space="preserve">Executive Summary</w:t>
      </w:r>
    </w:p>
    <w:p>
      <w:pPr>
        <w:pStyle w:val="FirstParagraph"/>
      </w:pPr>
      <w:r>
        <w:t xml:space="preserve">This Sales Report presents a detailed analysis of our dietitian service performance across Malaysia Kuala Lumpur for the third quarter of 2023. The report underscores significant growth in demand for professional nutrition services within KL's evolving healthcare landscape, positioning our dietitian network as a market leader in evidence-based nutritional care. With Malaysia's obesity prevalence at 30.6% (MOH 2022) and rising chronic disease rates, our Kuala Lumpur dietitian services have achieved a remarkable 37% year-on-year sales growth, exceeding all strategic targets set for the Malaysia Kuala Lumpur market.</w:t>
      </w:r>
    </w:p>
    <w:bookmarkEnd w:id="20"/>
    <w:bookmarkStart w:id="21" w:name="Xa74546071479acbde4cb37ecbb6a8b9cd70262b"/>
    <w:p>
      <w:pPr>
        <w:pStyle w:val="Heading2"/>
      </w:pPr>
      <w:r>
        <w:t xml:space="preserve">Market Context: Dietitian Demand in Malaysia Kuala Lumpur</w:t>
      </w:r>
    </w:p>
    <w:p>
      <w:pPr>
        <w:pStyle w:val="FirstParagraph"/>
      </w:pPr>
      <w:r>
        <w:t xml:space="preserve">The Malaysian healthcare sector is experiencing unprecedented demand for specialized nutrition services. Kuala Lumpur, as the nation's economic and medical hub, houses over 65% of Malaysia's registered dietitians yet remains underserved relative to its population of 8.3 million residents. The Ministry of Health's National Strategic Plan for Non-Communicable Diseases (2021-2030) explicitly prioritizes expanding dietitian-led interventions, creating a perfect market alignment for our services. This Sales Report confirms that KL residents increasingly recognize the value of professional dietitian consultations to manage diabetes (affecting 1 in 5 adults), hypertension, and weight management challenges unique to Southeast Asian metabolic profiles.</w:t>
      </w:r>
    </w:p>
    <w:bookmarkEnd w:id="21"/>
    <w:bookmarkStart w:id="22" w:name="q3-sales-performance-analysis"/>
    <w:p>
      <w:pPr>
        <w:pStyle w:val="Heading2"/>
      </w:pPr>
      <w:r>
        <w:t xml:space="preserve">Q3 Sales Performance Analysis</w:t>
      </w:r>
    </w:p>
    <w:p>
      <w:pPr>
        <w:pStyle w:val="FirstParagraph"/>
      </w:pPr>
      <w:r>
        <w:t xml:space="preserve">Our Kuala Lumpur dietitian service ecosystem delivered outstanding results during Q3 2023:</w:t>
      </w:r>
    </w:p>
    <w:p>
      <w:pPr>
        <w:numPr>
          <w:ilvl w:val="0"/>
          <w:numId w:val="1001"/>
        </w:numPr>
        <w:pStyle w:val="Compact"/>
      </w:pPr>
      <w:r>
        <w:rPr>
          <w:bCs/>
          <w:b/>
        </w:rPr>
        <w:t xml:space="preserve">Revenue Growth:</w:t>
      </w:r>
      <w:r>
        <w:t xml:space="preserve"> </w:t>
      </w:r>
      <w:r>
        <w:t xml:space="preserve">RM 1.84 million (up 37% YoY), driven by premium corporate wellness contracts and high-demand diabetes management programs</w:t>
      </w:r>
    </w:p>
    <w:p>
      <w:pPr>
        <w:numPr>
          <w:ilvl w:val="0"/>
          <w:numId w:val="1001"/>
        </w:numPr>
        <w:pStyle w:val="Compact"/>
      </w:pPr>
      <w:r>
        <w:rPr>
          <w:bCs/>
          <w:b/>
        </w:rPr>
        <w:t xml:space="preserve">New Client Acquisition:</w:t>
      </w:r>
      <w:r>
        <w:t xml:space="preserve"> </w:t>
      </w:r>
      <w:r>
        <w:t xml:space="preserve">2,150 new consultations (+42% YoY), with 68% from digital referrals through our KL-focused health portal</w:t>
      </w:r>
    </w:p>
    <w:p>
      <w:pPr>
        <w:numPr>
          <w:ilvl w:val="0"/>
          <w:numId w:val="1001"/>
        </w:numPr>
        <w:pStyle w:val="Compact"/>
      </w:pPr>
      <w:r>
        <w:rPr>
          <w:bCs/>
          <w:b/>
        </w:rPr>
        <w:t xml:space="preserve">Retained Clients:</w:t>
      </w:r>
      <w:r>
        <w:t xml:space="preserve"> </w:t>
      </w:r>
      <w:r>
        <w:t xml:space="preserve">78% retention rate (exceeding industry benchmark of 65%), indicating exceptional client satisfaction with our dietitian service quality</w:t>
      </w:r>
    </w:p>
    <w:p>
      <w:pPr>
        <w:numPr>
          <w:ilvl w:val="0"/>
          <w:numId w:val="1001"/>
        </w:numPr>
        <w:pStyle w:val="Compact"/>
      </w:pPr>
      <w:r>
        <w:rPr>
          <w:bCs/>
          <w:b/>
        </w:rPr>
        <w:t xml:space="preserve">Service Mix:</w:t>
      </w:r>
      <w:r>
        <w:t xml:space="preserve"> </w:t>
      </w:r>
      <w:r>
        <w:t xml:space="preserve">Corporate wellness programs grew by 53% (now representing 41% of total revenue), while individual consultations increased by 29%</w:t>
      </w:r>
    </w:p>
    <w:bookmarkEnd w:id="22"/>
    <w:bookmarkStart w:id="23" w:name="X233b3099864c54eee2852afcafe45b8b6641b94"/>
    <w:p>
      <w:pPr>
        <w:pStyle w:val="Heading2"/>
      </w:pPr>
      <w:r>
        <w:t xml:space="preserve">Key Success Drivers in Malaysia Kuala Lumpur</w:t>
      </w:r>
    </w:p>
    <w:p>
      <w:pPr>
        <w:pStyle w:val="FirstParagraph"/>
      </w:pPr>
      <w:r>
        <w:t xml:space="preserve">Three strategic initiatives propelled our dietitian service success in KL:</w:t>
      </w:r>
    </w:p>
    <w:p>
      <w:pPr>
        <w:numPr>
          <w:ilvl w:val="0"/>
          <w:numId w:val="1002"/>
        </w:numPr>
        <w:pStyle w:val="Compact"/>
      </w:pPr>
      <w:r>
        <w:rPr>
          <w:bCs/>
          <w:b/>
        </w:rPr>
        <w:t xml:space="preserve">Cultural Nutrition Integration:</w:t>
      </w:r>
      <w:r>
        <w:t xml:space="preserve"> </w:t>
      </w:r>
      <w:r>
        <w:t xml:space="preserve">Our dietitian team developed culturally specific meal plans incorporating local ingredients (e.g., sambal, rice varieties, tropical fruits) that resonated deeply with Malaysian clients. This approach increased consultation adherence by 47% compared to generic Western-based programs.</w:t>
      </w:r>
    </w:p>
    <w:p>
      <w:pPr>
        <w:numPr>
          <w:ilvl w:val="0"/>
          <w:numId w:val="1002"/>
        </w:numPr>
        <w:pStyle w:val="Compact"/>
      </w:pPr>
      <w:r>
        <w:rPr>
          <w:bCs/>
          <w:b/>
        </w:rPr>
        <w:t xml:space="preserve">Corporate Partnership Expansion:</w:t>
      </w:r>
      <w:r>
        <w:t xml:space="preserve"> </w:t>
      </w:r>
      <w:r>
        <w:t xml:space="preserve">Secured contracts with 12 major KL-based companies (including multinational tech firms and financial institutions), delivering on-site dietitian sessions. This corporate channel now generates RM 750,000 monthly in recurring revenue.</w:t>
      </w:r>
    </w:p>
    <w:bookmarkEnd w:id="23"/>
    <w:bookmarkStart w:id="24" w:name="challenges-and-strategic-responses"/>
    <w:p>
      <w:pPr>
        <w:pStyle w:val="Heading2"/>
      </w:pPr>
      <w:r>
        <w:t xml:space="preserve">Challenges and Strategic Responses</w:t>
      </w:r>
    </w:p>
    <w:p>
      <w:pPr>
        <w:pStyle w:val="FirstParagraph"/>
      </w:pPr>
      <w:r>
        <w:t xml:space="preserve">This Sales Report identifies two critical challenges faced by dietitian services in Malaysia Kuala Lumpur:</w:t>
      </w:r>
    </w:p>
    <w:p>
      <w:pPr>
        <w:numPr>
          <w:ilvl w:val="0"/>
          <w:numId w:val="1003"/>
        </w:numPr>
        <w:pStyle w:val="Compact"/>
      </w:pPr>
      <w:r>
        <w:rPr>
          <w:iCs/>
          <w:i/>
        </w:rPr>
        <w:t xml:space="preserve">Regulatory Complexity:</w:t>
      </w:r>
      <w:r>
        <w:t xml:space="preserve"> </w:t>
      </w:r>
      <w:r>
        <w:t xml:space="preserve">Navigating MOH licensing requirements for dietitians across KL's 11 health districts initially slowed service rollout. Our response: Partnered with the Malaysian Dietitians Association (MDA) to create a streamlined accreditation pathway, reducing onboarding time by 60%.</w:t>
      </w:r>
    </w:p>
    <w:p>
      <w:pPr>
        <w:numPr>
          <w:ilvl w:val="0"/>
          <w:numId w:val="1003"/>
        </w:numPr>
        <w:pStyle w:val="Compact"/>
      </w:pPr>
      <w:r>
        <w:rPr>
          <w:iCs/>
          <w:i/>
        </w:rPr>
        <w:t xml:space="preserve">Price Sensitivity:</w:t>
      </w:r>
      <w:r>
        <w:t xml:space="preserve"> </w:t>
      </w:r>
      <w:r>
        <w:t xml:space="preserve">Initial client resistance to premium dietitian fees was addressed through tiered pricing: Basic (RM120/session), Standard (RM250/session), and Premium (RM480/session with continuous monitoring). This structure increased volume by 33% while maintaining profitability.</w:t>
      </w:r>
    </w:p>
    <w:bookmarkEnd w:id="24"/>
    <w:bookmarkStart w:id="25" w:name="Xa2186a54f5d648fb59eaf6ef6aaa86f9c157ba0"/>
    <w:p>
      <w:pPr>
        <w:pStyle w:val="Heading2"/>
      </w:pPr>
      <w:r>
        <w:t xml:space="preserve">Geographic Performance Breakdown: Kuala Lumpur Districts</w:t>
      </w:r>
    </w:p>
    <w:p>
      <w:pPr>
        <w:pStyle w:val="FirstParagraph"/>
      </w:pPr>
      <w:r>
        <w:t xml:space="preserve">Our Malaysia Kuala Lumpur sales data reveals distinct regional patterns:</w:t>
      </w:r>
    </w:p>
    <w:p>
      <w:pPr>
        <w:pStyle w:val="BodyText"/>
      </w:pPr>
      <w:r>
        <w:t xml:space="preserve">District</w:t>
      </w:r>
    </w:p>
    <w:p>
      <w:pPr>
        <w:pStyle w:val="BodyText"/>
      </w:pPr>
      <w:r>
        <w:t xml:space="preserve">Revenue (RM)</w:t>
      </w:r>
    </w:p>
    <w:p>
      <w:pPr>
        <w:pStyle w:val="BodyText"/>
      </w:pPr>
      <w:r>
        <w:t xml:space="preserve">Growth YoY</w:t>
      </w:r>
    </w:p>
    <w:p>
      <w:pPr>
        <w:pStyle w:val="BodyText"/>
      </w:pPr>
      <w:r>
        <w:t xml:space="preserve">Key Demand Drivers</w:t>
      </w:r>
    </w:p>
    <w:p>
      <w:pPr>
        <w:pStyle w:val="BodyText"/>
      </w:pPr>
      <w:r>
        <w:t xml:space="preserve">Petaling Jaya</w:t>
      </w:r>
    </w:p>
    <w:p>
      <w:pPr>
        <w:pStyle w:val="BodyText"/>
      </w:pPr>
      <w:r>
        <w:t xml:space="preserve">620,000</w:t>
      </w:r>
    </w:p>
    <w:p>
      <w:pPr>
        <w:pStyle w:val="BodyText"/>
      </w:pPr>
      <w:r>
        <w:t xml:space="preserve">41%</w:t>
      </w:r>
    </w:p>
    <w:p>
      <w:pPr>
        <w:pStyle w:val="BodyText"/>
      </w:pPr>
      <w:r>
        <w:t xml:space="preserve">Corporate wellness (58% of clients)</w:t>
      </w:r>
    </w:p>
    <w:p>
      <w:pPr>
        <w:pStyle w:val="BodyText"/>
      </w:pPr>
      <w:r>
        <w:t xml:space="preserve">Kuala Lumpur City Centre</w:t>
      </w:r>
    </w:p>
    <w:p>
      <w:pPr>
        <w:pStyle w:val="BodyText"/>
      </w:pPr>
      <w:r>
        <w:t xml:space="preserve">485,000</w:t>
      </w:r>
    </w:p>
    <w:p>
      <w:pPr>
        <w:pStyle w:val="BodyText"/>
      </w:pPr>
      <w:r>
        <w:t xml:space="preserve">Dietary management for diabetes (72% of consultations)</w:t>
      </w:r>
    </w:p>
    <w:p>
      <w:pPr>
        <w:pStyle w:val="BodyText"/>
      </w:pPr>
      <w:r>
        <w:t xml:space="preserve">Bukit Bintang</w:t>
      </w:r>
    </w:p>
    <w:p>
      <w:pPr>
        <w:pStyle w:val="BodyText"/>
      </w:pPr>
      <w:r>
        <w:t xml:space="preserve">315,000</w:t>
      </w:r>
    </w:p>
    <w:p>
      <w:pPr>
        <w:pStyle w:val="BodyText"/>
      </w:pPr>
      <w:r>
        <w:t xml:space="preserve">44%</w:t>
      </w:r>
    </w:p>
    <w:p>
      <w:pPr>
        <w:pStyle w:val="BodyText"/>
      </w:pPr>
      <w:r>
        <w:t xml:space="preserve">Fitness industry partnerships (gym collaborations)</w:t>
      </w:r>
    </w:p>
    <w:p>
      <w:pPr>
        <w:pStyle w:val="BodyText"/>
      </w:pPr>
      <w:r>
        <w:t xml:space="preserve">Taman Jaya</w:t>
      </w:r>
    </w:p>
    <w:p>
      <w:pPr>
        <w:pStyle w:val="BodyText"/>
      </w:pPr>
      <w:r>
        <w:t xml:space="preserve">228,000</w:t>
      </w:r>
    </w:p>
    <w:p>
      <w:pPr>
        <w:pStyle w:val="BodyText"/>
      </w:pPr>
      <w:r>
        <w:t xml:space="preserve">Maternal nutrition programs (65% of clients)</w:t>
      </w:r>
    </w:p>
    <w:bookmarkEnd w:id="25"/>
    <w:bookmarkStart w:id="26" w:name="X4b71e38331e751c267e202c3f4da73f47cea856"/>
    <w:p>
      <w:pPr>
        <w:pStyle w:val="Heading2"/>
      </w:pPr>
      <w:r>
        <w:t xml:space="preserve">Strategic Recommendations for Q4 2023 and Beyond</w:t>
      </w:r>
    </w:p>
    <w:p>
      <w:pPr>
        <w:pStyle w:val="FirstParagraph"/>
      </w:pPr>
      <w:r>
        <w:t xml:space="preserve">Based on this Sales Report, we recommend three priority actions to maintain momentum in Malaysia Kuala Lumpur:</w:t>
      </w:r>
    </w:p>
    <w:p>
      <w:pPr>
        <w:numPr>
          <w:ilvl w:val="0"/>
          <w:numId w:val="1004"/>
        </w:numPr>
        <w:pStyle w:val="Compact"/>
      </w:pPr>
      <w:r>
        <w:rPr>
          <w:bCs/>
          <w:b/>
        </w:rPr>
        <w:t xml:space="preserve">Expand Dietitian Capacity in Suburban KL:</w:t>
      </w:r>
      <w:r>
        <w:t xml:space="preserve"> </w:t>
      </w:r>
      <w:r>
        <w:t xml:space="preserve">Allocate RM 500,000 to establish two new satellite clinics in Ampang and Cheras—areas with high diabetes prevalence but low dietitian access (current ratio: 1:28,567 vs. MOH target of 1:12,344).</w:t>
      </w:r>
    </w:p>
    <w:p>
      <w:pPr>
        <w:numPr>
          <w:ilvl w:val="0"/>
          <w:numId w:val="1004"/>
        </w:numPr>
        <w:pStyle w:val="Compact"/>
      </w:pPr>
      <w:r>
        <w:rPr>
          <w:bCs/>
          <w:b/>
        </w:rPr>
        <w:t xml:space="preserve">Launch "Dietitian for All" Initiative:</w:t>
      </w:r>
      <w:r>
        <w:t xml:space="preserve"> </w:t>
      </w:r>
      <w:r>
        <w:t xml:space="preserve">Partner with KL City Council to offer subsidized consultations for low-income residents through community health centers, targeting a 20% market share in public healthcare services by Q2 2024.</w:t>
      </w:r>
    </w:p>
    <w:p>
      <w:pPr>
        <w:numPr>
          <w:ilvl w:val="0"/>
          <w:numId w:val="1004"/>
        </w:numPr>
        <w:pStyle w:val="Compact"/>
      </w:pPr>
      <w:r>
        <w:rPr>
          <w:bCs/>
          <w:b/>
        </w:rPr>
        <w:t xml:space="preserve">Develop Malaysia-Specific Dietitian Certification:</w:t>
      </w:r>
      <w:r>
        <w:t xml:space="preserve"> </w:t>
      </w:r>
      <w:r>
        <w:t xml:space="preserve">Create an accredited training program co-branded with Universiti Kebangsaan Malaysia to address KL's dietitian shortage (current deficit: 1,800 professionals).</w:t>
      </w:r>
    </w:p>
    <w:bookmarkEnd w:id="26"/>
    <w:bookmarkStart w:id="27" w:name="conclusion"/>
    <w:p>
      <w:pPr>
        <w:pStyle w:val="Heading2"/>
      </w:pPr>
      <w:r>
        <w:t xml:space="preserve">Conclusion</w:t>
      </w:r>
    </w:p>
    <w:p>
      <w:pPr>
        <w:pStyle w:val="FirstParagraph"/>
      </w:pPr>
      <w:r>
        <w:t xml:space="preserve">This Sales Report confirms that our dietitian services have become an indispensable component of Malaysia Kuala Lumpur's healthcare ecosystem. The convergence of rising metabolic disease rates, government health initiatives, and heightened consumer awareness has created a perfect storm for growth in professional nutrition services. Our KL dietitian network not only meets but anticipates market needs through culturally intelligent solutions and strategic partnerships. As we move into Q4 2023, our focus remains on scaling responsibly while maintaining the exceptional service quality that has made us the preferred dietitian provider across Malaysia Kuala Lumpur.</w:t>
      </w:r>
    </w:p>
    <w:p>
      <w:pPr>
        <w:pStyle w:val="BodyText"/>
      </w:pPr>
      <w:r>
        <w:t xml:space="preserve">Looking ahead, we project 50% year-over-year growth in dietitian services for Malaysia Kuala Lumpur by Q3 2024, driven by expanding corporate contracts and our new community health initiatives. This Sales Report serves as both a testament to our current achievements and a roadmap for sustainable leadership in Southeast Asia's most dynamic dietitian market.</w:t>
      </w:r>
    </w:p>
    <w:p>
      <w:pPr>
        <w:pStyle w:val="BodyText"/>
      </w:pPr>
      <w:r>
        <w:rPr>
          <w:iCs/>
          <w:i/>
        </w:rPr>
        <w:t xml:space="preserve">Prepared by: Strategic Growth Analytics Team | Date: October 26, 2023 | For Internal Use: Malaysia Kuala Lumpur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Malaysia Kuala Lumpur</dc:title>
  <dc:creator/>
  <dc:language>en</dc:language>
  <cp:keywords/>
  <dcterms:created xsi:type="dcterms:W3CDTF">2026-07-21T06:06:25Z</dcterms:created>
  <dcterms:modified xsi:type="dcterms:W3CDTF">2026-07-21T06:06:25Z</dcterms:modified>
</cp:coreProperties>
</file>

<file path=docProps/custom.xml><?xml version="1.0" encoding="utf-8"?>
<Properties xmlns="http://schemas.openxmlformats.org/officeDocument/2006/custom-properties" xmlns:vt="http://schemas.openxmlformats.org/officeDocument/2006/docPropsVTypes"/>
</file>