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c166e070d9cc9f12012d9e0a60d828cb5998ddb"/>
    <w:p>
      <w:pPr>
        <w:pStyle w:val="Heading1"/>
      </w:pPr>
      <w:r>
        <w:t xml:space="preserve">Comprehensive Sales Report: Dietitian Service Performance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NutriCare Health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dietitian services across Morocco Casablanca. The quarter demonstrated robust growth in client acquisition and retention, with a 37% increase in subscription revenue compared to Q2 2023. Notably, Casablanca—the economic heart of Morocco—remains our most valuable market, contributing 68% of total national sales. This report underscores the critical role of specialized dietitian expertise in addressing Morocco's rising health consciousness and obesity trends, positioning us for accelerated expansion in this dynamic market.</w:t>
      </w:r>
    </w:p>
    <w:bookmarkEnd w:id="20"/>
    <w:bookmarkStart w:id="21" w:name="X7590b83124be7124375c177b52183bbf88e013d"/>
    <w:p>
      <w:pPr>
        <w:pStyle w:val="Heading2"/>
      </w:pPr>
      <w:r>
        <w:t xml:space="preserve">Market Context: Dietitian Services in Morocco Casablanca</w:t>
      </w:r>
    </w:p>
    <w:p>
      <w:pPr>
        <w:pStyle w:val="FirstParagraph"/>
      </w:pPr>
      <w:r>
        <w:t xml:space="preserve">With urbanization accelerating at 3.1% annually in Casablanca, lifestyle-related health issues have surged. The World Health Organization reports that 35% of Moroccan adults suffer from overweight/obesity—particularly acute in coastal cities like our focus market. This creates unprecedented demand for certified Dietitian services tailored to local dietary patterns (e.g., high consumption of seafood, tagines, and sugary beverages). Our Sales Report confirms Casablanca’s market potential: 62% of surveyed residents now prioritize personalized nutrition guidance over generic diet advice.</w:t>
      </w:r>
    </w:p>
    <w:bookmarkEnd w:id="21"/>
    <w:bookmarkStart w:id="22" w:name="quarterly-sales-performance-breakdown"/>
    <w:p>
      <w:pPr>
        <w:pStyle w:val="Heading2"/>
      </w:pPr>
      <w:r>
        <w:t xml:space="preserve">Quarterly Sales Performance Breakdown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Δ (vs Q2)</w:t>
      </w:r>
    </w:p>
    <w:p>
      <w:pPr>
        <w:pStyle w:val="BodyText"/>
      </w:pPr>
      <w:r>
        <w:t xml:space="preserve">New Client Acquisitions</w:t>
      </w:r>
    </w:p>
    <w:p>
      <w:pPr>
        <w:pStyle w:val="BodyText"/>
      </w:pPr>
      <w:r>
        <w:t xml:space="preserve">147 clients</w:t>
      </w:r>
    </w:p>
    <w:p>
      <w:pPr>
        <w:pStyle w:val="BodyText"/>
      </w:pPr>
      <w:r>
        <w:t xml:space="preserve">96 clients</w:t>
      </w:r>
    </w:p>
    <w:p>
      <w:pPr>
        <w:pStyle w:val="BodyText"/>
      </w:pPr>
      <w:r>
        <w:t xml:space="preserve">+53%</w:t>
      </w:r>
    </w:p>
    <w:p>
      <w:pPr>
        <w:pStyle w:val="BodyText"/>
      </w:pPr>
      <w:r>
        <w:t xml:space="preserve">Avg. Revenue Per Client (MAD)</w:t>
      </w:r>
    </w:p>
    <w:p>
      <w:pPr>
        <w:pStyle w:val="BodyText"/>
      </w:pPr>
      <w:r>
        <w:t xml:space="preserve">2,850</w:t>
      </w:r>
    </w:p>
    <w:p>
      <w:pPr>
        <w:pStyle w:val="BodyText"/>
      </w:pPr>
      <w:r>
        <w:t xml:space="preserve">TBD - Data Not Available in Template</w:t>
      </w:r>
    </w:p>
    <w:p>
      <w:pPr>
        <w:pStyle w:val="BodyText"/>
      </w:pPr>
      <w:r>
        <w:t xml:space="preserve">+12% (QoQ)</w:t>
      </w:r>
    </w:p>
    <w:p>
      <w:pPr>
        <w:pStyle w:val="BodyText"/>
      </w:pPr>
      <w:r>
        <w:t xml:space="preserve">Retained Clients</w:t>
      </w:r>
    </w:p>
    <w:p>
      <w:pPr>
        <w:pStyle w:val="BodyText"/>
      </w:pPr>
      <w:r>
        <w:t xml:space="preserve">78%</w:t>
      </w:r>
    </w:p>
    <w:p>
      <w:pPr>
        <w:pStyle w:val="BodyText"/>
      </w:pPr>
      <w:r>
        <w:t xml:space="preserve">69%</w:t>
      </w:r>
    </w:p>
    <w:p>
      <w:pPr>
        <w:pStyle w:val="BodyText"/>
      </w:pPr>
      <w:r>
        <w:t xml:space="preserve">+9 pp</w:t>
      </w:r>
    </w:p>
    <w:p>
      <w:pPr>
        <w:pStyle w:val="BodyText"/>
      </w:pPr>
      <w:r>
        <w:t xml:space="preserve">Total Revenue (Casablanca)</w:t>
      </w:r>
    </w:p>
    <w:p>
      <w:pPr>
        <w:pStyle w:val="BodyText"/>
      </w:pPr>
      <w:r>
        <w:t xml:space="preserve">MAD 418,000</w:t>
      </w:r>
    </w:p>
    <w:p>
      <w:pPr>
        <w:pStyle w:val="BodyText"/>
      </w:pPr>
      <w:r>
        <w:t xml:space="preserve">&lt;</w:t>
      </w:r>
    </w:p>
    <w:p>
      <w:pPr>
        <w:pStyle w:val="BodyText"/>
      </w:pPr>
      <w:r>
        <w:t xml:space="preserve">MAD 305,152</w:t>
      </w:r>
    </w:p>
    <w:p>
      <w:pPr>
        <w:pStyle w:val="BodyText"/>
      </w:pPr>
      <w:r>
        <w:t xml:space="preserve">+37% YoY</w:t>
      </w:r>
    </w:p>
    <w:p>
      <w:pPr>
        <w:pStyle w:val="BodyText"/>
      </w:pPr>
      <w:r>
        <w:t xml:space="preserve">Key drivers of success included our localized Ramadan nutrition packages and partnerships with Casablanca’s top-tier gyms (e.g., FitZone, GymNation). The Sales Report highlights a 41% surge in corporate wellness contracts with multinational firms operating in Casablanca’s financial district—a direct response to rising diabetes rates among office workers.</w:t>
      </w:r>
    </w:p>
    <w:bookmarkEnd w:id="22"/>
    <w:bookmarkStart w:id="23" w:name="client-demographics-behavioral-insights"/>
    <w:p>
      <w:pPr>
        <w:pStyle w:val="Heading2"/>
      </w:pPr>
      <w:r>
        <w:t xml:space="preserve">Client Demographics &amp; Behavioral Insights</w:t>
      </w:r>
    </w:p>
    <w:p>
      <w:pPr>
        <w:pStyle w:val="FirstParagraph"/>
      </w:pPr>
      <w:r>
        <w:t xml:space="preserve">In Morocco Casablanca, our Dietitian service appeals primarily to two segments:</w:t>
      </w:r>
    </w:p>
    <w:p>
      <w:pPr>
        <w:numPr>
          <w:ilvl w:val="0"/>
          <w:numId w:val="1001"/>
        </w:numPr>
        <w:pStyle w:val="Compact"/>
      </w:pPr>
      <w:r>
        <w:rPr>
          <w:bCs/>
          <w:b/>
        </w:rPr>
        <w:t xml:space="preserve">Urban Professionals (48% of clients):</w:t>
      </w:r>
      <w:r>
        <w:t xml:space="preserve"> </w:t>
      </w:r>
      <w:r>
        <w:t xml:space="preserve">Aged 30-45, seeking weight management and diabetes prevention. They value time-efficient digital consultations—72% book via our mobile app during lunch breaks.</w:t>
      </w:r>
    </w:p>
    <w:p>
      <w:pPr>
        <w:numPr>
          <w:ilvl w:val="0"/>
          <w:numId w:val="1001"/>
        </w:numPr>
        <w:pStyle w:val="Compact"/>
      </w:pPr>
      <w:r>
        <w:rPr>
          <w:bCs/>
          <w:b/>
        </w:rPr>
        <w:t xml:space="preserve">Health-Conscious Families (39% of clients):</w:t>
      </w:r>
      <w:r>
        <w:t xml:space="preserve"> </w:t>
      </w:r>
      <w:r>
        <w:t xml:space="preserve">Parents in areas like Sidi Maarouf and Ain Diab prioritizing childhood nutrition. They prefer in-person sessions at our Casablanca clinic, citing trust in face-to-face interaction with Moroccan-licensed Dietitians.</w:t>
      </w:r>
    </w:p>
    <w:p>
      <w:pPr>
        <w:pStyle w:val="FirstParagraph"/>
      </w:pPr>
      <w:r>
        <w:t xml:space="preserve">Crucially, our Sales Report identifies cultural alignment as a key differentiator: 89% of clients cited "understanding Moroccan food culture" as their top factor for choosing our service over international competitors. This includes dietitians who incorporate local ingredients (e.g., argan oil, harissa) into meal plans.</w:t>
      </w:r>
    </w:p>
    <w:bookmarkEnd w:id="23"/>
    <w:bookmarkStart w:id="24" w:name="challenges-strategic-opportunities"/>
    <w:p>
      <w:pPr>
        <w:pStyle w:val="Heading2"/>
      </w:pPr>
      <w:r>
        <w:t xml:space="preserve">Challenges &amp; Strategic Opportunities</w:t>
      </w:r>
    </w:p>
    <w:p>
      <w:pPr>
        <w:pStyle w:val="FirstParagraph"/>
      </w:pPr>
      <w:r>
        <w:t xml:space="preserve">Despite growth, two challenges require immediate action per our Sales Report:</w:t>
      </w:r>
    </w:p>
    <w:p>
      <w:pPr>
        <w:numPr>
          <w:ilvl w:val="0"/>
          <w:numId w:val="1002"/>
        </w:numPr>
        <w:pStyle w:val="Compact"/>
      </w:pPr>
      <w:r>
        <w:rPr>
          <w:bCs/>
          <w:b/>
        </w:rPr>
        <w:t xml:space="preserve">Price Sensitivity:</w:t>
      </w:r>
      <w:r>
        <w:t xml:space="preserve"> </w:t>
      </w:r>
      <w:r>
        <w:t xml:space="preserve">34% of potential clients in lower-income Casablanca neighborhoods (e.g., Hay Mohammadi) decline services due to perceived high costs. Opportunity: Launch a subsidized "Community Dietitian" tier via partnerships with Moroccan NGOs like Fondation Mohammed V.</w:t>
      </w:r>
    </w:p>
    <w:p>
      <w:pPr>
        <w:numPr>
          <w:ilvl w:val="0"/>
          <w:numId w:val="1002"/>
        </w:numPr>
        <w:pStyle w:val="Compact"/>
      </w:pPr>
      <w:r>
        <w:rPr>
          <w:bCs/>
          <w:b/>
        </w:rPr>
        <w:t xml:space="preserve">Digital Adoption Gap:</w:t>
      </w:r>
      <w:r>
        <w:t xml:space="preserve"> </w:t>
      </w:r>
      <w:r>
        <w:t xml:space="preserve">Only 56% of clients over 50 use our app—critical for retention. Opportunity: Partner with Casablanca’s telecom giants (Maroc Telecom, Inwi) to offer free SMS-based nutrition tips, expanding accessibility.</w:t>
      </w:r>
    </w:p>
    <w:bookmarkEnd w:id="24"/>
    <w:bookmarkStart w:id="25" w:name="competitive-landscape-analysis"/>
    <w:p>
      <w:pPr>
        <w:pStyle w:val="Heading2"/>
      </w:pPr>
      <w:r>
        <w:t xml:space="preserve">Competitive Landscape Analysis</w:t>
      </w:r>
    </w:p>
    <w:p>
      <w:pPr>
        <w:pStyle w:val="FirstParagraph"/>
      </w:pPr>
      <w:r>
        <w:t xml:space="preserve">While Morocco Casablanca has 17 dietitian clinics, our competitive edge is threefold:</w:t>
      </w:r>
    </w:p>
    <w:p>
      <w:pPr>
        <w:numPr>
          <w:ilvl w:val="0"/>
          <w:numId w:val="1003"/>
        </w:numPr>
        <w:pStyle w:val="Compact"/>
      </w:pPr>
      <w:r>
        <w:rPr>
          <w:bCs/>
          <w:b/>
        </w:rPr>
        <w:t xml:space="preserve">Certification Authority:</w:t>
      </w:r>
      <w:r>
        <w:t xml:space="preserve"> </w:t>
      </w:r>
      <w:r>
        <w:t xml:space="preserve">All our Dietitians hold Moroccan Ministry of Health licenses—unlike 83% of competitors.</w:t>
      </w:r>
    </w:p>
    <w:p>
      <w:pPr>
        <w:numPr>
          <w:ilvl w:val="0"/>
          <w:numId w:val="1003"/>
        </w:numPr>
        <w:pStyle w:val="Compact"/>
      </w:pPr>
      <w:r>
        <w:rPr>
          <w:bCs/>
          <w:b/>
        </w:rPr>
        <w:t xml:space="preserve">Hyperlocalization:</w:t>
      </w:r>
      <w:r>
        <w:t xml:space="preserve"> </w:t>
      </w:r>
      <w:r>
        <w:t xml:space="preserve">Menus designed for Casablanca’s seasonal produce (e.g., summer citrus, winter seafood) versus generic global plans.</w:t>
      </w:r>
    </w:p>
    <w:p>
      <w:pPr>
        <w:numPr>
          <w:ilvl w:val="0"/>
          <w:numId w:val="1003"/>
        </w:numPr>
        <w:pStyle w:val="Compact"/>
      </w:pPr>
      <w:r>
        <w:rPr>
          <w:bCs/>
          <w:b/>
        </w:rPr>
        <w:t xml:space="preserve">Community Integration:</w:t>
      </w:r>
      <w:r>
        <w:t xml:space="preserve"> </w:t>
      </w:r>
      <w:r>
        <w:t xml:space="preserve">Our team hosts monthly free workshops at Casablanca’s central markets (e.g., Souk Cherratin), driving organic referrals.</w:t>
      </w:r>
    </w:p>
    <w:p>
      <w:pPr>
        <w:pStyle w:val="FirstParagraph"/>
      </w:pPr>
      <w:r>
        <w:t xml:space="preserve">This localized approach is reflected in our 4.8/5 average client rating on Moroccan platforms like Jumia and Google Maps—significantly above the sector average of 3.9.</w:t>
      </w:r>
    </w:p>
    <w:bookmarkEnd w:id="25"/>
    <w:bookmarkStart w:id="26" w:name="strategic-recommendations-for-q4"/>
    <w:p>
      <w:pPr>
        <w:pStyle w:val="Heading2"/>
      </w:pPr>
      <w:r>
        <w:t xml:space="preserve">Strategic Recommendations for Q4</w:t>
      </w:r>
    </w:p>
    <w:p>
      <w:pPr>
        <w:numPr>
          <w:ilvl w:val="0"/>
          <w:numId w:val="1004"/>
        </w:numPr>
        <w:pStyle w:val="Compact"/>
      </w:pPr>
      <w:r>
        <w:rPr>
          <w:bCs/>
          <w:b/>
        </w:rPr>
        <w:t xml:space="preserve">Expand Casablanca Clinic Network:</w:t>
      </w:r>
      <w:r>
        <w:t xml:space="preserve"> </w:t>
      </w:r>
      <w:r>
        <w:t xml:space="preserve">Open a second clinic in the affluent Aïn Sebaa district to capture high-income clients seeking premium services, projecting 18% revenue uplift.</w:t>
      </w:r>
    </w:p>
    <w:p>
      <w:pPr>
        <w:numPr>
          <w:ilvl w:val="0"/>
          <w:numId w:val="1004"/>
        </w:numPr>
        <w:pStyle w:val="Compact"/>
      </w:pPr>
      <w:r>
        <w:rPr>
          <w:bCs/>
          <w:b/>
        </w:rPr>
        <w:t xml:space="preserve">Leverage Ramadan Demand:</w:t>
      </w:r>
      <w:r>
        <w:t xml:space="preserve"> </w:t>
      </w:r>
      <w:r>
        <w:t xml:space="preserve">Develop a "Ramadan Health Pack" (meal plans + virtual sessions) targeting 20,000+ households—anticipated to generate MAD 152,000 in pre-booking sales.</w:t>
      </w:r>
    </w:p>
    <w:p>
      <w:pPr>
        <w:numPr>
          <w:ilvl w:val="0"/>
          <w:numId w:val="1004"/>
        </w:numPr>
        <w:pStyle w:val="Compact"/>
      </w:pPr>
      <w:r>
        <w:rPr>
          <w:bCs/>
          <w:b/>
        </w:rPr>
        <w:t xml:space="preserve">Government Partnerships:</w:t>
      </w:r>
      <w:r>
        <w:t xml:space="preserve"> </w:t>
      </w:r>
      <w:r>
        <w:t xml:space="preserve">Pursue MoU with Casablanca’s municipal health department to provide subsidized Dietitian services in public schools, addressing childhood obesity while building brand trust.</w:t>
      </w:r>
    </w:p>
    <w:bookmarkEnd w:id="26"/>
    <w:bookmarkStart w:id="27" w:name="conclusion"/>
    <w:p>
      <w:pPr>
        <w:pStyle w:val="Heading2"/>
      </w:pPr>
      <w:r>
        <w:t xml:space="preserve">Conclusion</w:t>
      </w:r>
    </w:p>
    <w:p>
      <w:pPr>
        <w:pStyle w:val="FirstParagraph"/>
      </w:pPr>
      <w:r>
        <w:t xml:space="preserve">This Sales Report unequivocally confirms that dietitian services are not just viable but essential within Morocco Casablanca's evolving health economy. Our data shows a clear trajectory: the demand for culturally attuned nutritional expertise is accelerating, fueled by urbanization, diabetes prevalence, and rising disposable income. By doubling down on localizing Dietitian offerings—particularly through clinic expansion in key Casablanca neighborhoods and community partnerships—we project 52% revenue growth by Q1 2024.</w:t>
      </w:r>
    </w:p>
    <w:p>
      <w:pPr>
        <w:pStyle w:val="BodyText"/>
      </w:pPr>
      <w:r>
        <w:t xml:space="preserve">As the premier provider of Dietitian services in Morocco Casablanca, we stand at a pivotal moment. The convergence of market need, cultural relevance, and our operational excellence positions us to dominate this high-growth segment. We urge immediate action on the Q4 strategic initiatives to capture 30%+ market share in Casablanca’s dietitian sector within 18 months.</w:t>
      </w:r>
    </w:p>
    <w:p>
      <w:pPr>
        <w:pStyle w:val="BodyText"/>
      </w:pPr>
      <w:r>
        <w:rPr>
          <w:bCs/>
          <w:b/>
        </w:rPr>
        <w:t xml:space="preserve">Prepared By:</w:t>
      </w:r>
      <w:r>
        <w:t xml:space="preserve"> </w:t>
      </w:r>
      <w:r>
        <w:t xml:space="preserve">Sales Strategy Department, NutriCare Health Solutions</w:t>
      </w:r>
      <w:r>
        <w:br/>
      </w:r>
      <w:r>
        <w:rPr>
          <w:bCs/>
          <w:b/>
        </w:rPr>
        <w:t xml:space="preserve">Contact:</w:t>
      </w:r>
      <w:r>
        <w:t xml:space="preserve"> </w:t>
      </w:r>
      <w:r>
        <w:t xml:space="preserve">sales@nutricare.ma | +212 522-XXXXXX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Morocco Casablanca</dc:title>
  <dc:creator/>
  <dc:language>en</dc:language>
  <cp:keywords/>
  <dcterms:created xsi:type="dcterms:W3CDTF">2026-07-23T10:15:21Z</dcterms:created>
  <dcterms:modified xsi:type="dcterms:W3CDTF">2026-07-23T10:15:21Z</dcterms:modified>
</cp:coreProperties>
</file>

<file path=docProps/custom.xml><?xml version="1.0" encoding="utf-8"?>
<Properties xmlns="http://schemas.openxmlformats.org/officeDocument/2006/custom-properties" xmlns:vt="http://schemas.openxmlformats.org/officeDocument/2006/docPropsVTypes"/>
</file>