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a4b99988a8af8c172dd8abeadfbb7569149e9fe"/>
    <w:p>
      <w:pPr>
        <w:pStyle w:val="Heading1"/>
      </w:pPr>
      <w:r>
        <w:t xml:space="preserve">Q3 2023 Sales Report for Professional Dietitian Services in New Zealand Auckland</w:t>
      </w:r>
    </w:p>
    <w:p>
      <w:pPr>
        <w:pStyle w:val="FirstParagraph"/>
      </w:pPr>
      <w:r>
        <w:rPr>
          <w:bCs/>
          <w:b/>
        </w:rPr>
        <w:t xml:space="preserve">Date:</w:t>
      </w:r>
      <w:r>
        <w:t xml:space="preserve"> </w:t>
      </w:r>
      <w:r>
        <w:t xml:space="preserve">October 15, 2023 |</w:t>
      </w:r>
      <w:r>
        <w:t xml:space="preserve"> </w:t>
      </w:r>
      <w:r>
        <w:rPr>
          <w:bCs/>
          <w:b/>
        </w:rPr>
        <w:t xml:space="preserve">Prepared For:</w:t>
      </w:r>
      <w:r>
        <w:t xml:space="preserve"> </w:t>
      </w:r>
      <w:r>
        <w:t xml:space="preserve">Auckland Health Management Group |</w:t>
      </w:r>
      <w:r>
        <w:t xml:space="preserve"> </w:t>
      </w:r>
      <w:r>
        <w:rPr>
          <w:bCs/>
          <w:b/>
        </w:rPr>
        <w:t xml:space="preserve">Purpose:</w:t>
      </w:r>
      <w:r>
        <w:t xml:space="preserve"> </w:t>
      </w:r>
      <w:r>
        <w:t xml:space="preserve">Strategic Performance Analysis of Dietitian Service Sales in New Zealand's Largest Metropolitan Market</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services across New Zealand Auckland during the third quarter of 2023. As a leading provider of evidence-based nutritional interventions, our Auckland practice has achieved remarkable growth in client acquisition and service retention, solidifying its position as a market leader in preventative health care. The report demonstrates how strategic adaptation to local dietary needs and healthcare trends has driven exceptional sales results within the competitive New Zealand Auckland wellness sector.</w:t>
      </w:r>
    </w:p>
    <w:p>
      <w:pPr>
        <w:pStyle w:val="BodyText"/>
      </w:pPr>
      <w:r>
        <w:rPr>
          <w:bCs/>
          <w:b/>
        </w:rPr>
        <w:t xml:space="preserve">Key Achievement:</w:t>
      </w:r>
      <w:r>
        <w:t xml:space="preserve"> </w:t>
      </w:r>
      <w:r>
        <w:t xml:space="preserve">32% year-over-year revenue growth in dietitian services, exceeding Auckland market average by 18%. This represents NZD $462,500 in Q3 sales volume (up from NZD $351,000 in Q3 2022), driven by targeted outreach to New Zealand Auckland's diverse population segments.</w:t>
      </w:r>
    </w:p>
    <w:bookmarkEnd w:id="20"/>
    <w:bookmarkStart w:id="21" w:name="X1bdbbee9169560cb24170f10bf9e03f056306cf"/>
    <w:p>
      <w:pPr>
        <w:pStyle w:val="Heading2"/>
      </w:pPr>
      <w:r>
        <w:t xml:space="preserve">Market Context: New Zealand Auckland Dietitian Demand Landscape</w:t>
      </w:r>
    </w:p>
    <w:p>
      <w:pPr>
        <w:pStyle w:val="FirstParagraph"/>
      </w:pPr>
      <w:r>
        <w:t xml:space="preserve">New Zealand Auckland presents a unique market with rapidly evolving dietary health needs. As the nation's largest urban center (1.5 million residents), it faces significant challenges including rising obesity rates (30% of adults clinically obese), high diabetes prevalence, and growing cultural diversity requiring culturally competent nutrition care. Our Sales Report confirms that 76% of Auckland residents now seek professional dietitian guidance for chronic condition management or wellness optimization – a 42% increase since 2020.</w:t>
      </w:r>
    </w:p>
    <w:p>
      <w:pPr>
        <w:pStyle w:val="BodyText"/>
      </w:pPr>
      <w:r>
        <w:t xml:space="preserve">The local healthcare system's shift toward preventative medicine has created unprecedented opportunity. Auckland District Health Board (ADHB) initiatives like "Healthy Eating, Healthy Lives" have directly increased referrals to registered dietitians by 57% year-on-year. This environment positions our dietitian services as essential rather than optional within New Zealand Auckland's health ecosystem.</w:t>
      </w:r>
    </w:p>
    <w:bookmarkEnd w:id="21"/>
    <w:bookmarkStart w:id="22" w:name="q3-2023-sales-performance-analysis"/>
    <w:p>
      <w:pPr>
        <w:pStyle w:val="Heading2"/>
      </w:pPr>
      <w:r>
        <w:t xml:space="preserve">Q3 2023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(NZD)</w:t>
            </w:r>
          </w:p>
        </w:tc>
        <w:tc>
          <w:tcPr/>
          <w:p>
            <w:pPr>
              <w:pStyle w:val="Compact"/>
              <w:jc w:val="left"/>
            </w:pPr>
            <w:r>
              <w:t xml:space="preserve">% Change YoY</w:t>
            </w:r>
          </w:p>
        </w:tc>
        <w:tc>
          <w:tcPr/>
          <w:p>
            <w:pPr>
              <w:pStyle w:val="Compact"/>
              <w:jc w:val="left"/>
            </w:pPr>
            <w:r>
              <w:t xml:space="preserve">Key Growth Drivers in Auckland Market</w:t>
            </w:r>
          </w:p>
        </w:tc>
      </w:tr>
      <w:tr>
        <w:tc>
          <w:tcPr/>
          <w:p>
            <w:pPr>
              <w:pStyle w:val="Compact"/>
              <w:jc w:val="left"/>
            </w:pPr>
            <w:r>
              <w:t xml:space="preserve">Chronic Disease Management (Diabetes, Cardiac)</w:t>
            </w:r>
          </w:p>
        </w:tc>
        <w:tc>
          <w:tcPr/>
          <w:p>
            <w:pPr>
              <w:pStyle w:val="Compact"/>
              <w:jc w:val="left"/>
            </w:pPr>
            <w:r>
              <w:t xml:space="preserve">$189,200</w:t>
            </w:r>
          </w:p>
        </w:tc>
        <w:tc>
          <w:tcPr/>
          <w:p>
            <w:pPr>
              <w:pStyle w:val="Compact"/>
              <w:jc w:val="left"/>
            </w:pPr>
            <w:r>
              <w:t xml:space="preserve">+41%</w:t>
            </w:r>
          </w:p>
        </w:tc>
        <w:tc>
          <w:tcPr/>
          <w:p>
            <w:pPr>
              <w:pStyle w:val="Compact"/>
              <w:jc w:val="left"/>
            </w:pPr>
            <w:r>
              <w:t xml:space="preserve">ADHB referral partnerships; Māori Health Strategy alignment</w:t>
            </w:r>
          </w:p>
        </w:tc>
      </w:tr>
      <w:tr>
        <w:tc>
          <w:tcPr/>
          <w:p>
            <w:pPr>
              <w:pStyle w:val="Compact"/>
              <w:jc w:val="left"/>
            </w:pPr>
            <w:r>
              <w:t xml:space="preserve">Weight Management &amp; Metabolic Health</w:t>
            </w:r>
          </w:p>
        </w:tc>
        <w:tc>
          <w:tcPr/>
          <w:p>
            <w:pPr>
              <w:pStyle w:val="Compact"/>
              <w:jc w:val="left"/>
            </w:pPr>
            <w:r>
              <w:t xml:space="preserve">$152,800</w:t>
            </w:r>
          </w:p>
        </w:tc>
        <w:tc>
          <w:tcPr/>
          <w:p>
            <w:pPr>
              <w:pStyle w:val="Compact"/>
              <w:jc w:val="left"/>
            </w:pPr>
            <w:r>
              <w:t xml:space="preserve">+29%</w:t>
            </w:r>
          </w:p>
        </w:tc>
        <w:tc>
          <w:tcPr/>
          <w:p>
            <w:pPr>
              <w:pStyle w:val="Compact"/>
              <w:jc w:val="left"/>
            </w:pPr>
            <w:r>
              <w:t xml:space="preserve">Rising obesity rates; corporate wellness contracts with Auckland businesses</w:t>
            </w:r>
          </w:p>
        </w:tc>
      </w:tr>
      <w:tr>
        <w:tc>
          <w:tcPr/>
          <w:p>
            <w:pPr>
              <w:pStyle w:val="Compact"/>
              <w:jc w:val="left"/>
            </w:pPr>
            <w:r>
              <w:t xml:space="preserve">Women's Health (Prenatal, Menopause)</w:t>
            </w:r>
          </w:p>
        </w:tc>
        <w:tc>
          <w:tcPr/>
          <w:p>
            <w:pPr>
              <w:pStyle w:val="Compact"/>
              <w:jc w:val="left"/>
            </w:pPr>
            <w:r>
              <w:t xml:space="preserve">$74,500</w:t>
            </w:r>
          </w:p>
        </w:tc>
        <w:tc>
          <w:tcPr/>
          <w:p>
            <w:pPr>
              <w:pStyle w:val="Compact"/>
              <w:jc w:val="left"/>
            </w:pPr>
            <w:r>
              <w:t xml:space="preserve">+38%</w:t>
            </w:r>
          </w:p>
        </w:tc>
        <w:tc>
          <w:tcPr/>
          <w:p>
            <w:pPr>
              <w:pStyle w:val="Compact"/>
              <w:jc w:val="left"/>
            </w:pPr>
            <w:r>
              <w:t xml:space="preserve">New Zealand-specific prenatal guidelines; increased awareness campaigns</w:t>
            </w:r>
          </w:p>
        </w:tc>
      </w:tr>
      <w:tr>
        <w:tc>
          <w:tcPr/>
          <w:p>
            <w:pPr>
              <w:pStyle w:val="Compact"/>
              <w:jc w:val="left"/>
            </w:pPr>
            <w:r>
              <w:t xml:space="preserve">Corporate Wellness Programs</w:t>
            </w:r>
          </w:p>
        </w:tc>
        <w:tc>
          <w:tcPr/>
          <w:p>
            <w:pPr>
              <w:pStyle w:val="Compact"/>
              <w:jc w:val="left"/>
            </w:pPr>
            <w:r>
              <w:t xml:space="preserve">$46,000</w:t>
            </w:r>
          </w:p>
        </w:tc>
        <w:tc>
          <w:tcPr/>
          <w:p>
            <w:pPr>
              <w:pStyle w:val="Compact"/>
              <w:jc w:val="left"/>
            </w:pPr>
            <w:r>
              <w:t xml:space="preserve">+67%</w:t>
            </w:r>
          </w:p>
        </w:tc>
        <w:tc>
          <w:tcPr/>
          <w:p>
            <w:pPr>
              <w:pStyle w:val="Compact"/>
              <w:jc w:val="left"/>
            </w:pPr>
            <w:r>
              <w:t xml:space="preserve">Expansion into Auckland tech sector (Xero, Kiwibank)</w:t>
            </w:r>
          </w:p>
        </w:tc>
      </w:tr>
    </w:tbl>
    <w:bookmarkEnd w:id="22"/>
    <w:bookmarkStart w:id="23" w:name="Xe715fa0af639a976ca7315e37cc891b038fd731"/>
    <w:p>
      <w:pPr>
        <w:pStyle w:val="Heading2"/>
      </w:pPr>
      <w:r>
        <w:t xml:space="preserve">Clinical Service Differentiation in New Zealand Auckland Context</w:t>
      </w:r>
    </w:p>
    <w:p>
      <w:pPr>
        <w:pStyle w:val="FirstParagraph"/>
      </w:pPr>
      <w:r>
        <w:t xml:space="preserve">Our success stems from hyper-localized dietitian service design. Unlike generic wellness providers, our approach integrates:</w:t>
      </w:r>
    </w:p>
    <w:p>
      <w:pPr>
        <w:numPr>
          <w:ilvl w:val="0"/>
          <w:numId w:val="1001"/>
        </w:numPr>
        <w:pStyle w:val="Compact"/>
      </w:pPr>
      <w:r>
        <w:rPr>
          <w:bCs/>
          <w:b/>
        </w:rPr>
        <w:t xml:space="preserve">Indigenous Nutrition Expertise:</w:t>
      </w:r>
      <w:r>
        <w:t xml:space="preserve"> </w:t>
      </w:r>
      <w:r>
        <w:t xml:space="preserve">Collaboration with local iwi health providers for Māori-specific dietary protocols (e.g., integrating kūmara and native greens into diabetes management plans)</w:t>
      </w:r>
    </w:p>
    <w:p>
      <w:pPr>
        <w:numPr>
          <w:ilvl w:val="0"/>
          <w:numId w:val="1001"/>
        </w:numPr>
        <w:pStyle w:val="Compact"/>
      </w:pPr>
      <w:r>
        <w:rPr>
          <w:bCs/>
          <w:b/>
        </w:rPr>
        <w:t xml:space="preserve">Cultural Dietary Mapping:</w:t>
      </w:r>
      <w:r>
        <w:t xml:space="preserve"> </w:t>
      </w:r>
      <w:r>
        <w:t xml:space="preserve">Service customization for Auckland's 12+ ethnic communities (Pasifika, Indian, Chinese), addressing cultural food preferences in meal planning</w:t>
      </w:r>
    </w:p>
    <w:p>
      <w:pPr>
        <w:numPr>
          <w:ilvl w:val="0"/>
          <w:numId w:val="1001"/>
        </w:numPr>
        <w:pStyle w:val="Compact"/>
      </w:pPr>
      <w:r>
        <w:rPr>
          <w:bCs/>
          <w:b/>
        </w:rPr>
        <w:t xml:space="preserve">New Zealand Food System Integration:</w:t>
      </w:r>
      <w:r>
        <w:t xml:space="preserve"> </w:t>
      </w:r>
      <w:r>
        <w:t xml:space="preserve">Utilizing local seasonal produce from Auckland markets (e.g., Otahuhu Produce Market) in dietary plans</w:t>
      </w:r>
    </w:p>
    <w:p>
      <w:pPr>
        <w:pStyle w:val="FirstParagraph"/>
      </w:pPr>
      <w:r>
        <w:t xml:space="preserve">This culturally attuned approach directly addresses a critical gap identified in the 2023 Auckland Health Survey – 68% of ethnic minority clients reported abandoning dietitian services due to cultural mismatches. Our localized model has achieved a 79% client retention rate, significantly above industry average (58%) for New Zealand Auckland practices.</w:t>
      </w:r>
    </w:p>
    <w:bookmarkEnd w:id="23"/>
    <w:bookmarkStart w:id="24" w:name="X4db2dfbacc5f1d086319156487dc147672ed57d"/>
    <w:p>
      <w:pPr>
        <w:pStyle w:val="Heading2"/>
      </w:pPr>
      <w:r>
        <w:t xml:space="preserve">Strategic Sales Initiatives Driving Growth</w:t>
      </w:r>
    </w:p>
    <w:p>
      <w:pPr>
        <w:pStyle w:val="FirstParagraph"/>
      </w:pPr>
      <w:r>
        <w:rPr>
          <w:bCs/>
          <w:b/>
        </w:rPr>
        <w:t xml:space="preserve">Community Partnership Program:</w:t>
      </w:r>
      <w:r>
        <w:t xml:space="preserve"> </w:t>
      </w:r>
      <w:r>
        <w:t xml:space="preserve">Our strategic alliance with Auckland's community health centers (e.g., Waitakere Hospital, Puketapu Health Centre) has generated 187 new referrals in Q3. This initiative directly supports the NZ Ministry of Health's "Primary Healthcare Strategy" and establishes our dietitian practice as an integral part of Auckland's public health infrastructure.</w:t>
      </w:r>
    </w:p>
    <w:p>
      <w:pPr>
        <w:pStyle w:val="BodyText"/>
      </w:pPr>
      <w:r>
        <w:t xml:space="preserve">Additionally, we launched "Auckland Healthy Plate" digital resources – culturally relevant meal guides using local ingredients – which generated 247 qualified leads in Q3. The campaign achieved a 23% conversion rate to paid services, outperforming national averages (15%) due to hyper-local relevance.</w:t>
      </w:r>
    </w:p>
    <w:bookmarkEnd w:id="24"/>
    <w:bookmarkStart w:id="25" w:name="Xc72c842d9fe06c9cf1b120c55ca3b0bf5ce1370"/>
    <w:p>
      <w:pPr>
        <w:pStyle w:val="Heading2"/>
      </w:pPr>
      <w:r>
        <w:t xml:space="preserve">Overcoming New Zealand Auckland-Specific Challenges</w:t>
      </w:r>
    </w:p>
    <w:p>
      <w:pPr>
        <w:pStyle w:val="FirstParagraph"/>
      </w:pPr>
      <w:r>
        <w:t xml:space="preserve">Our Sales Report identifies two significant Auckland barriers overcome in Q3:</w:t>
      </w:r>
    </w:p>
    <w:p>
      <w:pPr>
        <w:numPr>
          <w:ilvl w:val="0"/>
          <w:numId w:val="1002"/>
        </w:numPr>
        <w:pStyle w:val="Compact"/>
      </w:pPr>
      <w:r>
        <w:rPr>
          <w:bCs/>
          <w:b/>
        </w:rPr>
        <w:t xml:space="preserve">Geographical Fragmentation:</w:t>
      </w:r>
      <w:r>
        <w:t xml:space="preserve"> </w:t>
      </w:r>
      <w:r>
        <w:t xml:space="preserve">Auckland's spread-out suburbs (from Kaikōura to Waiheke Island) required mobile dietitian services. We implemented a "Auckland Mobility Model" with 3 regional clinics and 8+ mobile practitioners, reducing no-shows by 41% through proximity-based scheduling.</w:t>
      </w:r>
    </w:p>
    <w:p>
      <w:pPr>
        <w:numPr>
          <w:ilvl w:val="0"/>
          <w:numId w:val="1002"/>
        </w:numPr>
        <w:pStyle w:val="Compact"/>
      </w:pPr>
      <w:r>
        <w:rPr>
          <w:bCs/>
          <w:b/>
        </w:rPr>
        <w:t xml:space="preserve">Cost Sensitivity:</w:t>
      </w:r>
      <w:r>
        <w:t xml:space="preserve"> </w:t>
      </w:r>
      <w:r>
        <w:t xml:space="preserve">Addressing Auckland's high cost-of-living, we introduced tiered pricing: Standard ($120/session), Community Discount ($75 for EFTPOS cardholders), and Employer-Sponsored (bundled corporate packages). This increased accessibility while maintaining service quality.</w:t>
      </w:r>
    </w:p>
    <w:bookmarkEnd w:id="25"/>
    <w:bookmarkStart w:id="26" w:name="future-sales-projections-strategic-focus"/>
    <w:p>
      <w:pPr>
        <w:pStyle w:val="Heading2"/>
      </w:pPr>
      <w:r>
        <w:t xml:space="preserve">Future Sales Projections &amp; Strategic Focus</w:t>
      </w:r>
    </w:p>
    <w:p>
      <w:pPr>
        <w:pStyle w:val="FirstParagraph"/>
      </w:pPr>
      <w:r>
        <w:t xml:space="preserve">Based on current momentum, our Q4 2023 sales forecast projects NZD $515,000 in dietitian service revenue – a 11.3% increase from Q3. This growth will be driven by:</w:t>
      </w:r>
    </w:p>
    <w:p>
      <w:pPr>
        <w:numPr>
          <w:ilvl w:val="0"/>
          <w:numId w:val="1003"/>
        </w:numPr>
        <w:pStyle w:val="Compact"/>
      </w:pPr>
      <w:r>
        <w:t xml:space="preserve">Expansion into Auckland's emerging geriatric care sector (65+ population growing at 4.2% annually)</w:t>
      </w:r>
    </w:p>
    <w:p>
      <w:pPr>
        <w:numPr>
          <w:ilvl w:val="0"/>
          <w:numId w:val="1003"/>
        </w:numPr>
        <w:pStyle w:val="Compact"/>
      </w:pPr>
      <w:r>
        <w:t xml:space="preserve">Development of "Auckland Diabetes Prevention Program" with ADHB, targeting high-risk communities</w:t>
      </w:r>
    </w:p>
    <w:p>
      <w:pPr>
        <w:numPr>
          <w:ilvl w:val="0"/>
          <w:numId w:val="1003"/>
        </w:numPr>
        <w:pStyle w:val="Compact"/>
      </w:pPr>
      <w:r>
        <w:t xml:space="preserve">Pursuit of ACC funding for injury recovery nutrition protocols</w:t>
      </w:r>
    </w:p>
    <w:p>
      <w:pPr>
        <w:pStyle w:val="FirstParagraph"/>
      </w:pPr>
      <w:r>
        <w:t xml:space="preserve">The Sales Report underscores that our continued success in New Zealand Auckland depends on deepening local health partnerships and maintaining cultural responsiveness. We recommend allocating 25% of Q4 marketing budget to Māori-led health events (e.g., Waitematā Marae gatherings) to further embed our dietitian services within Auckland's community fabric.</w:t>
      </w:r>
    </w:p>
    <w:bookmarkEnd w:id="26"/>
    <w:bookmarkStart w:id="27" w:name="Xdf582d7d70d5efe1e06369c27bbb7dd92d9be4d"/>
    <w:p>
      <w:pPr>
        <w:pStyle w:val="Heading2"/>
      </w:pPr>
      <w:r>
        <w:t xml:space="preserve">Conclusion: The Dietitian as Essential Health Partner in New Zealand Auckland</w:t>
      </w:r>
    </w:p>
    <w:p>
      <w:pPr>
        <w:pStyle w:val="FirstParagraph"/>
      </w:pPr>
      <w:r>
        <w:t xml:space="preserve">This Sales Report confirms that professional dietitian services have evolved from ancillary wellness support to a core component of New Zealand Auckland's public health strategy. Our data shows that culturally intelligent, locally adapted nutrition care directly drives client retention (79%), referral rates (57% YoY), and revenue growth in the competitive Auckland market.</w:t>
      </w:r>
    </w:p>
    <w:p>
      <w:pPr>
        <w:pStyle w:val="BodyText"/>
      </w:pPr>
      <w:r>
        <w:t xml:space="preserve">As the only dietitian practice in New Zealand Auckland with dedicated Māori Health Advisors and Pasifika Nutrition Specialists, we've positioned ourselves as a unique solution for community health needs. The success metrics presented demonstrate that when dietitian services are specifically designed for Auckland's demographic realities – not generic national models – they become indispensable healthcare assets. We project continued market leadership through 2024 by deepening these localized partnerships and expanding our culturally grounded nutrition programs across all Auckland boroughs.</w:t>
      </w:r>
    </w:p>
    <w:p>
      <w:pPr>
        <w:pStyle w:val="BodyText"/>
      </w:pPr>
      <w:r>
        <w:rPr>
          <w:iCs/>
          <w:i/>
        </w:rPr>
        <w:t xml:space="preserve">Prepared with data from New Zealand Ministry of Health, Statistics NZ, Auckland District Health Board, and internal client analytics (Q1-Q3 2023). This Sales Report informs strategic resource allocation for dietitian service expansion in New Zealand's most dynamic healthcare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 New Zealand Auckland</dc:title>
  <dc:creator/>
  <dc:language>en</dc:language>
  <cp:keywords/>
  <dcterms:created xsi:type="dcterms:W3CDTF">2026-07-24T18:57:29Z</dcterms:created>
  <dcterms:modified xsi:type="dcterms:W3CDTF">2026-07-24T18:57:29Z</dcterms:modified>
</cp:coreProperties>
</file>

<file path=docProps/custom.xml><?xml version="1.0" encoding="utf-8"?>
<Properties xmlns="http://schemas.openxmlformats.org/officeDocument/2006/custom-properties" xmlns:vt="http://schemas.openxmlformats.org/officeDocument/2006/docPropsVTypes"/>
</file>