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aa2ed8b6eab019f0e0f74a497fc886aab3a4a71"/>
    <w:p>
      <w:pPr>
        <w:pStyle w:val="Heading1"/>
      </w:pPr>
      <w:r>
        <w:t xml:space="preserve">Comprehensive Sales Report: Dietitian Service Performance Analysis for New Zealand Wellington Market (Q3 2023)</w:t>
      </w:r>
    </w:p>
    <w:bookmarkStart w:id="20" w:name="executive-summary"/>
    <w:p>
      <w:pPr>
        <w:pStyle w:val="Heading2"/>
      </w:pPr>
      <w:r>
        <w:t xml:space="preserve">Executive Summary</w:t>
      </w:r>
    </w:p>
    <w:p>
      <w:pPr>
        <w:pStyle w:val="FirstParagraph"/>
      </w:pPr>
      <w:r>
        <w:t xml:space="preserve">This Sales Report presents a detailed analysis of the performance metrics, market dynamics, and growth opportunities for our premium Dietitian service portfolio across New Zealand Wellington. The report confirms strong market adoption with a 37% year-on-year sales increase in Q3 2023, driven by heightened health consciousness and strategic community engagement. As the premier dietetic consultancy serving Wellington's diverse population, we've established a robust presence that aligns perfectly with New Zealand's national health priorities.</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Y/Y Change</w:t>
            </w:r>
          </w:p>
        </w:tc>
        <w:tc>
          <w:tcPr/>
          <w:p>
            <w:pPr>
              <w:pStyle w:val="Compact"/>
              <w:jc w:val="left"/>
            </w:pPr>
            <w:r>
              <w:t xml:space="preserve">Industry Benchmark</w:t>
            </w:r>
          </w:p>
        </w:tc>
      </w:tr>
      <w:tr>
        <w:tc>
          <w:tcPr/>
          <w:p>
            <w:pPr>
              <w:pStyle w:val="Compact"/>
              <w:jc w:val="left"/>
            </w:pPr>
            <w:r>
              <w:t xml:space="preserve">Total Client Acquisitions</w:t>
            </w:r>
          </w:p>
        </w:tc>
        <w:tc>
          <w:tcPr/>
          <w:p>
            <w:pPr>
              <w:pStyle w:val="Compact"/>
              <w:jc w:val="left"/>
            </w:pPr>
            <w:r>
              <w:t xml:space="preserve">187 clients</w:t>
            </w:r>
          </w:p>
        </w:tc>
        <w:tc>
          <w:tcPr/>
          <w:p>
            <w:pPr>
              <w:pStyle w:val="Compact"/>
              <w:jc w:val="left"/>
            </w:pPr>
            <w:r>
              <w:t xml:space="preserve">+37%</w:t>
            </w:r>
          </w:p>
        </w:tc>
        <w:tc>
          <w:tcPr/>
          <w:p>
            <w:pPr>
              <w:pStyle w:val="Compact"/>
              <w:jc w:val="left"/>
            </w:pPr>
            <w:r>
              <w:t xml:space="preserve">+12%</w:t>
            </w:r>
          </w:p>
        </w:tc>
      </w:tr>
      <w:tr>
        <w:tc>
          <w:tcPr/>
          <w:p>
            <w:pPr>
              <w:pStyle w:val="Compact"/>
              <w:jc w:val="left"/>
            </w:pPr>
            <w:r>
              <w:t xml:space="preserve">Average Revenue Per Client</w:t>
            </w:r>
          </w:p>
        </w:tc>
        <w:tc>
          <w:tcPr/>
          <w:p>
            <w:pPr>
              <w:pStyle w:val="Compact"/>
              <w:jc w:val="left"/>
            </w:pPr>
            <w:r>
              <w:t xml:space="preserve">NZ$895</w:t>
            </w:r>
          </w:p>
        </w:tc>
        <w:tc>
          <w:tcPr/>
          <w:p>
            <w:pPr>
              <w:pStyle w:val="Compact"/>
              <w:jc w:val="left"/>
            </w:pPr>
            <w:r>
              <w:t xml:space="preserve">+8%</w:t>
            </w:r>
          </w:p>
        </w:tc>
        <w:tc>
          <w:tcPr/>
          <w:p>
            <w:pPr>
              <w:pStyle w:val="Compact"/>
              <w:jc w:val="left"/>
            </w:pPr>
            <w:r>
              <w:t xml:space="preserve">NZ$760</w:t>
            </w:r>
          </w:p>
        </w:tc>
      </w:tr>
      <w:tr>
        <w:tc>
          <w:tcPr/>
          <w:p>
            <w:pPr>
              <w:pStyle w:val="Compact"/>
              <w:jc w:val="left"/>
            </w:pPr>
            <w:r>
              <w:t xml:space="preserve">Retained Client Rate</w:t>
            </w:r>
          </w:p>
        </w:tc>
        <w:tc>
          <w:tcPr/>
          <w:p>
            <w:pPr>
              <w:pStyle w:val="Compact"/>
              <w:jc w:val="left"/>
            </w:pPr>
            <w:r>
              <w:t xml:space="preserve">72%</w:t>
            </w:r>
          </w:p>
        </w:tc>
        <w:tc>
          <w:tcPr/>
          <w:p>
            <w:pPr>
              <w:pStyle w:val="Compact"/>
              <w:jc w:val="left"/>
            </w:pPr>
            <w:r>
              <w:t xml:space="preserve">+14% points</w:t>
            </w:r>
          </w:p>
        </w:tc>
        <w:tc>
          <w:tcPr/>
          <w:p>
            <w:pPr>
              <w:pStyle w:val="Compact"/>
              <w:jc w:val="left"/>
            </w:pPr>
            <w:r>
              <w:t xml:space="preserve">58%</w:t>
            </w:r>
          </w:p>
        </w:tc>
      </w:tr>
      <w:tr>
        <w:tc>
          <w:tcPr/>
          <w:p>
            <w:pPr>
              <w:pStyle w:val="Compact"/>
              <w:jc w:val="left"/>
            </w:pPr>
            <w:r>
              <w:t xml:space="preserve">New Business from Corporate Partnerships</w:t>
            </w:r>
          </w:p>
        </w:tc>
        <w:tc>
          <w:tcPr/>
          <w:p>
            <w:pPr>
              <w:pStyle w:val="Compact"/>
              <w:jc w:val="left"/>
            </w:pPr>
            <w:r>
              <w:t xml:space="preserve">NZ$42,000</w:t>
            </w:r>
          </w:p>
        </w:tc>
        <w:tc>
          <w:tcPr/>
          <w:p>
            <w:pPr>
              <w:pStyle w:val="Compact"/>
              <w:jc w:val="left"/>
            </w:pPr>
            <w:r>
              <w:t xml:space="preserve">+63%</w:t>
            </w:r>
          </w:p>
        </w:tc>
        <w:tc>
          <w:tcPr/>
          <w:p>
            <w:pPr>
              <w:pStyle w:val="Compact"/>
              <w:jc w:val="left"/>
            </w:pPr>
            <w:r>
              <w:t xml:space="preserve">NZ$25,700</w:t>
            </w:r>
          </w:p>
        </w:tc>
      </w:tr>
    </w:tbl>
    <w:bookmarkEnd w:id="21"/>
    <w:bookmarkStart w:id="22" w:name="Xcbb7b246b67bf62df40782681588c24481d46ae"/>
    <w:p>
      <w:pPr>
        <w:pStyle w:val="Heading2"/>
      </w:pPr>
      <w:r>
        <w:t xml:space="preserve">Market Analysis: Dietitian Demand in Wellington</w:t>
      </w:r>
    </w:p>
    <w:p>
      <w:pPr>
        <w:pStyle w:val="FirstParagraph"/>
      </w:pPr>
      <w:r>
        <w:t xml:space="preserve">New Zealand Wellington has emerged as a critical growth hub for dietetic services, with 63% of residents actively seeking nutritional guidance according to the 2023 Ministry of Health survey. The unique demographic profile—characterized by a young urban population (68% aged 18-45), high concentration of health-focused businesses, and significant Māori/Pacific Islander communities—creates exceptional demand for culturally competent Dietitian services. This aligns perfectly with our specialized offerings in diabetes management, weight optimization, and indigenous nutrition programs.</w:t>
      </w:r>
    </w:p>
    <w:p>
      <w:pPr>
        <w:pStyle w:val="BodyText"/>
      </w:pPr>
      <w:r>
        <w:t xml:space="preserve">Notably, Wellington's healthcare landscape has undergone significant transformation with the expansion of Primary Health Organisations (PHOs) across the city. Our strategic partnerships with 12 PHOs including Wellington Free Ambulance and Hutt Valley DHB have positioned us as a preferred Dietitian provider in acute care pathways. The recent government initiative "Healthy Weight NZ" further accelerated our sales pipeline by creating dedicated referral channels.</w:t>
      </w:r>
    </w:p>
    <w:bookmarkEnd w:id="22"/>
    <w:bookmarkStart w:id="23" w:name="X2f49092bf65fbf36735245a716bfc92fa54a99c"/>
    <w:p>
      <w:pPr>
        <w:pStyle w:val="Heading2"/>
      </w:pPr>
      <w:r>
        <w:t xml:space="preserve">Customer Insights: Wellington Client Profiles</w:t>
      </w:r>
    </w:p>
    <w:p>
      <w:pPr>
        <w:pStyle w:val="FirstParagraph"/>
      </w:pPr>
      <w:r>
        <w:t xml:space="preserve">Our Q3 client acquisition reveals compelling patterns specific to New Zealand Wellington:</w:t>
      </w:r>
    </w:p>
    <w:p>
      <w:pPr>
        <w:numPr>
          <w:ilvl w:val="0"/>
          <w:numId w:val="1001"/>
        </w:numPr>
        <w:pStyle w:val="Compact"/>
      </w:pPr>
      <w:r>
        <w:rPr>
          <w:bCs/>
          <w:b/>
        </w:rPr>
        <w:t xml:space="preserve">Primary Segments:</w:t>
      </w:r>
      <w:r>
        <w:t xml:space="preserve"> </w:t>
      </w:r>
      <w:r>
        <w:t xml:space="preserve">Corporate wellness programs (41%), chronic condition management (37%), and preventative health for fitness enthusiasts (22%)</w:t>
      </w:r>
    </w:p>
    <w:p>
      <w:pPr>
        <w:numPr>
          <w:ilvl w:val="0"/>
          <w:numId w:val="1001"/>
        </w:numPr>
        <w:pStyle w:val="Compact"/>
      </w:pPr>
      <w:r>
        <w:rPr>
          <w:bCs/>
          <w:b/>
        </w:rPr>
        <w:t xml:space="preserve">Cultural Relevance:</w:t>
      </w:r>
      <w:r>
        <w:t xml:space="preserve"> </w:t>
      </w:r>
      <w:r>
        <w:t xml:space="preserve">48% of clients from Māori/Pacific Islander backgrounds utilizing our kai (food) culture-aligned programs, reflecting successful adaptation of our Dietitian methodology to local traditions</w:t>
      </w:r>
    </w:p>
    <w:p>
      <w:pPr>
        <w:numPr>
          <w:ilvl w:val="0"/>
          <w:numId w:val="1001"/>
        </w:numPr>
        <w:pStyle w:val="Compact"/>
      </w:pPr>
      <w:r>
        <w:rPr>
          <w:bCs/>
          <w:b/>
        </w:rPr>
        <w:t xml:space="preserve">Feedback Highlights:</w:t>
      </w:r>
      <w:r>
        <w:t xml:space="preserve"> </w:t>
      </w:r>
      <w:r>
        <w:t xml:space="preserve">"The Wellington-based Dietitian understood my tāngata whenua (people) dietary needs" – 28-year-old Māori client; "Saved me from hospital visits through personalized diabetes management" – corporate client from Thorndon district</w:t>
      </w:r>
    </w:p>
    <w:bookmarkEnd w:id="23"/>
    <w:bookmarkStart w:id="24" w:name="X4db2dfbacc5f1d086319156487dc147672ed57d"/>
    <w:p>
      <w:pPr>
        <w:pStyle w:val="Heading2"/>
      </w:pPr>
      <w:r>
        <w:t xml:space="preserve">Strategic Sales Initiatives Driving Growth</w:t>
      </w:r>
    </w:p>
    <w:p>
      <w:pPr>
        <w:pStyle w:val="FirstParagraph"/>
      </w:pPr>
      <w:r>
        <w:t xml:space="preserve">Our success in New Zealand Wellington stems from three pillars integrated into every Dietitian service delivery:</w:t>
      </w:r>
    </w:p>
    <w:p>
      <w:pPr>
        <w:numPr>
          <w:ilvl w:val="0"/>
          <w:numId w:val="1002"/>
        </w:numPr>
        <w:pStyle w:val="Compact"/>
      </w:pPr>
      <w:r>
        <w:rPr>
          <w:bCs/>
          <w:b/>
        </w:rPr>
        <w:t xml:space="preserve">Community-Centric Engagement:</w:t>
      </w:r>
      <w:r>
        <w:t xml:space="preserve"> </w:t>
      </w:r>
      <w:r>
        <w:t xml:space="preserve">Hosted 15 free workshops at Wellington locations including Te Papa, Civic Square, and local marae. These sessions directly increased sales leads by 29% through relationship building.</w:t>
      </w:r>
    </w:p>
    <w:p>
      <w:pPr>
        <w:numPr>
          <w:ilvl w:val="0"/>
          <w:numId w:val="1002"/>
        </w:numPr>
        <w:pStyle w:val="Compact"/>
      </w:pPr>
      <w:r>
        <w:rPr>
          <w:bCs/>
          <w:b/>
        </w:rPr>
        <w:t xml:space="preserve">Clinical Differentiation:</w:t>
      </w:r>
      <w:r>
        <w:t xml:space="preserve"> </w:t>
      </w:r>
      <w:r>
        <w:t xml:space="preserve">Developed the "Wellington Wellness Framework" – a proprietary assessment tool incorporating local environmental factors (e.g., coastal diet patterns, urban farming initiatives) that has become our signature Dietitian offering.</w:t>
      </w:r>
    </w:p>
    <w:p>
      <w:pPr>
        <w:numPr>
          <w:ilvl w:val="0"/>
          <w:numId w:val="1002"/>
        </w:numPr>
        <w:pStyle w:val="Compact"/>
      </w:pPr>
      <w:r>
        <w:rPr>
          <w:bCs/>
          <w:b/>
        </w:rPr>
        <w:t xml:space="preserve">Technology Integration:</w:t>
      </w:r>
      <w:r>
        <w:t xml:space="preserve"> </w:t>
      </w:r>
      <w:r>
        <w:t xml:space="preserve">Launched the "Aotearoa NutriApp" for real-time client progress tracking, increasing retention by 23% among tech-savvy Wellington users.</w:t>
      </w:r>
    </w:p>
    <w:bookmarkEnd w:id="24"/>
    <w:bookmarkStart w:id="25" w:name="challenges-and-opportunities"/>
    <w:p>
      <w:pPr>
        <w:pStyle w:val="Heading2"/>
      </w:pPr>
      <w:r>
        <w:t xml:space="preserve">Challenges and Opportunities</w:t>
      </w:r>
    </w:p>
    <w:p>
      <w:pPr>
        <w:pStyle w:val="FirstParagraph"/>
      </w:pPr>
      <w:r>
        <w:t xml:space="preserve">The primary challenge identified is workforce capacity relative to demand. With Wellington's population growing at 1.8% annually (Statistics NZ), our Dietitian team requires strategic scaling without compromising service quality. However, this creates significant opportunity:</w:t>
      </w:r>
    </w:p>
    <w:p>
      <w:pPr>
        <w:numPr>
          <w:ilvl w:val="0"/>
          <w:numId w:val="1003"/>
        </w:numPr>
        <w:pStyle w:val="Compact"/>
      </w:pPr>
      <w:r>
        <w:rPr>
          <w:bCs/>
          <w:b/>
        </w:rPr>
        <w:t xml:space="preserve">Government Funding Alignment:</w:t>
      </w:r>
      <w:r>
        <w:t xml:space="preserve"> </w:t>
      </w:r>
      <w:r>
        <w:t xml:space="preserve">The new "Wellington Health Innovation Fund" offers 30% grant matching for accredited Dietitian programs – enabling us to expand services to low-income suburbs like Petone and Johnsonville.</w:t>
      </w:r>
    </w:p>
    <w:p>
      <w:pPr>
        <w:numPr>
          <w:ilvl w:val="0"/>
          <w:numId w:val="1003"/>
        </w:numPr>
        <w:pStyle w:val="Compact"/>
      </w:pPr>
      <w:r>
        <w:rPr>
          <w:bCs/>
          <w:b/>
        </w:rPr>
        <w:t xml:space="preserve">Digital Expansion:</w:t>
      </w:r>
      <w:r>
        <w:t xml:space="preserve"> </w:t>
      </w:r>
      <w:r>
        <w:t xml:space="preserve">Opportunity to develop telehealth options for remote Wellington regions (e.g., Wainuiomata), addressing current gaps in rural access.</w:t>
      </w:r>
    </w:p>
    <w:p>
      <w:pPr>
        <w:numPr>
          <w:ilvl w:val="0"/>
          <w:numId w:val="1003"/>
        </w:numPr>
        <w:pStyle w:val="Compact"/>
      </w:pPr>
      <w:r>
        <w:rPr>
          <w:bCs/>
          <w:b/>
        </w:rPr>
        <w:t xml:space="preserve">Cultural Partnerships:</w:t>
      </w:r>
      <w:r>
        <w:t xml:space="preserve"> </w:t>
      </w:r>
      <w:r>
        <w:t xml:space="preserve">Collaborating with Te Rūnanga o Ngāti Toa on traditional food sovereignty projects presents a new revenue stream for our Dietitian services.</w:t>
      </w:r>
    </w:p>
    <w:bookmarkEnd w:id="25"/>
    <w:bookmarkStart w:id="26" w:name="recommendations-for-next-quarter"/>
    <w:p>
      <w:pPr>
        <w:pStyle w:val="Heading2"/>
      </w:pPr>
      <w:r>
        <w:t xml:space="preserve">Recommendations for Next Quarter</w:t>
      </w:r>
    </w:p>
    <w:p>
      <w:pPr>
        <w:pStyle w:val="FirstParagraph"/>
      </w:pPr>
      <w:r>
        <w:t xml:space="preserve">To maintain momentum in New Zealand Wellington's competitive health market, we recommend:</w:t>
      </w:r>
    </w:p>
    <w:p>
      <w:pPr>
        <w:numPr>
          <w:ilvl w:val="0"/>
          <w:numId w:val="1004"/>
        </w:numPr>
        <w:pStyle w:val="Compact"/>
      </w:pPr>
      <w:r>
        <w:rPr>
          <w:bCs/>
          <w:b/>
        </w:rPr>
        <w:t xml:space="preserve">Launch "Wellington Wellbeing" Membership:</w:t>
      </w:r>
      <w:r>
        <w:t xml:space="preserve"> </w:t>
      </w:r>
      <w:r>
        <w:t xml:space="preserve">A subscription model offering quarterly Dietitian consultations with priority access to local farmers' markets. Projected revenue: NZ$185,000 annually.</w:t>
      </w:r>
    </w:p>
    <w:p>
      <w:pPr>
        <w:numPr>
          <w:ilvl w:val="0"/>
          <w:numId w:val="1004"/>
        </w:numPr>
        <w:pStyle w:val="Compact"/>
      </w:pPr>
      <w:r>
        <w:rPr>
          <w:bCs/>
          <w:b/>
        </w:rPr>
        <w:t xml:space="preserve">Establish Wellington Dietitian Academy:</w:t>
      </w:r>
      <w:r>
        <w:t xml:space="preserve"> </w:t>
      </w:r>
      <w:r>
        <w:t xml:space="preserve">Training local health workers in culturally safe nutritional practices – addressing workforce shortages while building community trust.</w:t>
      </w:r>
    </w:p>
    <w:p>
      <w:pPr>
        <w:numPr>
          <w:ilvl w:val="0"/>
          <w:numId w:val="1004"/>
        </w:numPr>
        <w:pStyle w:val="Compact"/>
      </w:pPr>
      <w:r>
        <w:rPr>
          <w:bCs/>
          <w:b/>
        </w:rPr>
        <w:t xml:space="preserve">Prioritize PHO Network Expansion:</w:t>
      </w:r>
      <w:r>
        <w:t xml:space="preserve"> </w:t>
      </w:r>
      <w:r>
        <w:t xml:space="preserve">Target 5 new Primary Health Organisation partnerships across the Greater Wellington region by Q1 2024.</w:t>
      </w:r>
    </w:p>
    <w:bookmarkEnd w:id="26"/>
    <w:bookmarkStart w:id="27" w:name="conclusion"/>
    <w:p>
      <w:pPr>
        <w:pStyle w:val="Heading2"/>
      </w:pPr>
      <w:r>
        <w:t xml:space="preserve">Conclusion</w:t>
      </w:r>
    </w:p>
    <w:p>
      <w:pPr>
        <w:pStyle w:val="FirstParagraph"/>
      </w:pPr>
      <w:r>
        <w:t xml:space="preserve">This Sales Report affirms that our Dietitian service model is not only meeting but exceeding market expectations in New Zealand Wellington. The city's unique cultural landscape, health priorities, and community engagement opportunities have created an ideal environment for specialized nutrition services. Our 37% sales growth validates the strategic approach of embedding ourselves within Wellington's health ecosystem through culturally responsive Dietitian practices.</w:t>
      </w:r>
    </w:p>
    <w:p>
      <w:pPr>
        <w:pStyle w:val="BodyText"/>
      </w:pPr>
      <w:r>
        <w:t xml:space="preserve">As we move into 2024, the focus must remain on scaling our proven model while deepening connections with Wellington communities. By maintaining our commitment to excellence in dietetic care – grounded in local New Zealand context – we project achieving NZ$1.2 million in annual revenue for Wellington operations by Q4 2024, establishing a benchmark for Dietitian service delivery across Aotearoa.</w:t>
      </w:r>
    </w:p>
    <w:p>
      <w:pPr>
        <w:pStyle w:val="BodyText"/>
      </w:pPr>
      <w:r>
        <w:rPr>
          <w:iCs/>
          <w:i/>
        </w:rPr>
        <w:t xml:space="preserve">Prepared by: Wellington Health Analytics Division</w:t>
      </w:r>
    </w:p>
    <w:p>
      <w:pPr>
        <w:pStyle w:val="BodyText"/>
      </w:pPr>
      <w:r>
        <w:rPr>
          <w:iCs/>
          <w:i/>
        </w:rPr>
        <w:t xml:space="preserve">Date: October 26, 2023 | Sales Report v4.7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New Zealand Wellington</dc:title>
  <dc:creator/>
  <dc:language>en</dc:language>
  <cp:keywords/>
  <dcterms:created xsi:type="dcterms:W3CDTF">2026-07-24T16:59:18Z</dcterms:created>
  <dcterms:modified xsi:type="dcterms:W3CDTF">2026-07-24T16:59:18Z</dcterms:modified>
</cp:coreProperties>
</file>

<file path=docProps/custom.xml><?xml version="1.0" encoding="utf-8"?>
<Properties xmlns="http://schemas.openxmlformats.org/officeDocument/2006/custom-properties" xmlns:vt="http://schemas.openxmlformats.org/officeDocument/2006/docPropsVTypes"/>
</file>