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Dietitian</w:t>
      </w:r>
      <w:r>
        <w:t xml:space="preserve"> </w:t>
      </w:r>
      <w:r>
        <w:t xml:space="preserve">Sales</w:t>
      </w:r>
      <w:r>
        <w:t xml:space="preserve"> </w:t>
      </w:r>
      <w:r>
        <w:t xml:space="preserve">Report</w:t>
      </w:r>
    </w:p>
    <w:bookmarkStart w:id="29" w:name="X71de7c49a8127745ba0bc4db1907936ee4bca52"/>
    <w:p>
      <w:pPr>
        <w:pStyle w:val="Heading1"/>
      </w:pPr>
      <w:r>
        <w:t xml:space="preserve">Comprehensive Sales Report: Premium Dietitian Services in Qatar Doha Market (Q3 2023)</w:t>
      </w:r>
    </w:p>
    <w:bookmarkStart w:id="20" w:name="executive-summary"/>
    <w:p>
      <w:pPr>
        <w:pStyle w:val="Heading2"/>
      </w:pPr>
      <w:r>
        <w:t xml:space="preserve">Executive Summary</w:t>
      </w:r>
    </w:p>
    <w:p>
      <w:pPr>
        <w:pStyle w:val="FirstParagraph"/>
      </w:pPr>
      <w:r>
        <w:t xml:space="preserve">This report details the sales performance of premium dietitian services across the dynamic market of Qatar Doha. The quarter saw unprecedented growth in demand for specialized nutritional care, driven by increasing health awareness, government health initiatives, and a rapidly expanding expatriate population. Our Dietitian service portfolio achieved a remarkable 38% year-over-year revenue increase, solidifying our position as the leading provider of clinical nutrition solutions in Qatar Doha. This Sales Report underscores strategic wins, market insights, and actionable pathways for sustained growth in this high-potential segment.</w:t>
      </w:r>
    </w:p>
    <w:bookmarkEnd w:id="20"/>
    <w:bookmarkStart w:id="21" w:name="market-analysis-qatar-doha-context"/>
    <w:p>
      <w:pPr>
        <w:pStyle w:val="Heading2"/>
      </w:pPr>
      <w:r>
        <w:t xml:space="preserve">Market Analysis: Qatar Doha Context</w:t>
      </w:r>
    </w:p>
    <w:p>
      <w:pPr>
        <w:pStyle w:val="FirstParagraph"/>
      </w:pPr>
      <w:r>
        <w:t xml:space="preserve">The Qatar Doha healthcare landscape has undergone significant transformation with the National Health Strategy 2030 prioritizing preventive care. This shift has created an ideal environment for specialized Dietitian services, as obesity rates (over 65% in adults) and diabetes prevalence (19%) demand evidence-based nutritional interventions. The bustling metropolis of Doha attracts over 85% of Qatar's foreign workforce, creating a diverse client base with varying dietary needs – from Middle Eastern cuisine adaptations to Western dietary preferences. Our Sales Report reveals that corporate wellness programs now account for 42% of our Dietitian service contracts, reflecting the growing recognition of nutrition as a business productivity driver.</w:t>
      </w:r>
    </w:p>
    <w:bookmarkEnd w:id="21"/>
    <w:bookmarkStart w:id="22" w:name="sales-performance-highlights"/>
    <w:p>
      <w:pPr>
        <w:pStyle w:val="Heading2"/>
      </w:pPr>
      <w:r>
        <w:t xml:space="preserve">Sales Performance Highlights</w:t>
      </w:r>
    </w:p>
    <w:p>
      <w:pPr>
        <w:pStyle w:val="FirstParagraph"/>
      </w:pPr>
      <w:r>
        <w:t xml:space="preserve">Key metrics from Q3 2023 demonstrate exceptional traction:</w:t>
      </w:r>
    </w:p>
    <w:p>
      <w:pPr>
        <w:numPr>
          <w:ilvl w:val="0"/>
          <w:numId w:val="1001"/>
        </w:numPr>
        <w:pStyle w:val="Compact"/>
      </w:pPr>
      <w:r>
        <w:rPr>
          <w:bCs/>
          <w:b/>
        </w:rPr>
        <w:t xml:space="preserve">Revenue Growth:</w:t>
      </w:r>
      <w:r>
        <w:t xml:space="preserve"> </w:t>
      </w:r>
      <w:r>
        <w:t xml:space="preserve">$1.85M (up 38% YoY), with premium corporate packages generating 67% of total sales</w:t>
      </w:r>
    </w:p>
    <w:p>
      <w:pPr>
        <w:numPr>
          <w:ilvl w:val="0"/>
          <w:numId w:val="1001"/>
        </w:numPr>
        <w:pStyle w:val="Compact"/>
      </w:pPr>
      <w:r>
        <w:rPr>
          <w:bCs/>
          <w:b/>
        </w:rPr>
        <w:t xml:space="preserve">Client Acquisition:</w:t>
      </w:r>
      <w:r>
        <w:t xml:space="preserve"> </w:t>
      </w:r>
      <w:r>
        <w:t xml:space="preserve">217 new clients secured, including 40 major corporations (e.g., Qatar Airways, QNB Group)</w:t>
      </w:r>
    </w:p>
    <w:p>
      <w:pPr>
        <w:numPr>
          <w:ilvl w:val="0"/>
          <w:numId w:val="1001"/>
        </w:numPr>
        <w:pStyle w:val="Compact"/>
      </w:pPr>
      <w:r>
        <w:rPr>
          <w:bCs/>
          <w:b/>
        </w:rPr>
        <w:t xml:space="preserve">Service Adoption:</w:t>
      </w:r>
      <w:r>
        <w:t xml:space="preserve"> </w:t>
      </w:r>
      <w:r>
        <w:t xml:space="preserve">Personalized nutrition plans increased by 53% as clients seek culturally appropriate solutions for Ramadan and local dietary habits</w:t>
      </w:r>
    </w:p>
    <w:p>
      <w:pPr>
        <w:numPr>
          <w:ilvl w:val="0"/>
          <w:numId w:val="1001"/>
        </w:numPr>
        <w:pStyle w:val="Compact"/>
      </w:pPr>
      <w:r>
        <w:rPr>
          <w:bCs/>
          <w:b/>
        </w:rPr>
        <w:t xml:space="preserve">Retention Rate:</w:t>
      </w:r>
      <w:r>
        <w:t xml:space="preserve"> </w:t>
      </w:r>
      <w:r>
        <w:t xml:space="preserve">89% (industry average: 72%), indicating superior client satisfaction with our specialized Dietitian expertise</w:t>
      </w:r>
    </w:p>
    <w:p>
      <w:pPr>
        <w:pStyle w:val="FirstParagraph"/>
      </w:pPr>
      <w:r>
        <w:t xml:space="preserve">This growth is particularly significant given the competitive Doha market. Our unique value proposition – combining certified International Board Certified Lactation Consultants (IBCLCs) with culturally attuned Dietitians – has differentiated us from competitors offering generic nutritional advice.</w:t>
      </w:r>
    </w:p>
    <w:bookmarkEnd w:id="22"/>
    <w:bookmarkStart w:id="23" w:name="X09fa47dbe89c9307cb5928f155d507ac6dc2bdc"/>
    <w:p>
      <w:pPr>
        <w:pStyle w:val="Heading2"/>
      </w:pPr>
      <w:r>
        <w:t xml:space="preserve">Regional Sales Breakdown: Qatar Doha Focus</w:t>
      </w:r>
    </w:p>
    <w:p>
      <w:pPr>
        <w:pStyle w:val="FirstParagraph"/>
      </w:pPr>
      <w:r>
        <w:t xml:space="preserve">The Doha metropolitan area remains the epicenter of our success, contributing 87% of total revenue. Key growth corridors include:</w:t>
      </w:r>
    </w:p>
    <w:p>
      <w:pPr>
        <w:numPr>
          <w:ilvl w:val="0"/>
          <w:numId w:val="1002"/>
        </w:numPr>
        <w:pStyle w:val="Compact"/>
      </w:pPr>
      <w:r>
        <w:rPr>
          <w:bCs/>
          <w:b/>
        </w:rPr>
        <w:t xml:space="preserve">West Bay Business District:</w:t>
      </w:r>
      <w:r>
        <w:t xml:space="preserve"> </w:t>
      </w:r>
      <w:r>
        <w:t xml:space="preserve">35 new corporate contracts with multinational firms implementing wellness programs</w:t>
      </w:r>
    </w:p>
    <w:p>
      <w:pPr>
        <w:numPr>
          <w:ilvl w:val="0"/>
          <w:numId w:val="1002"/>
        </w:numPr>
        <w:pStyle w:val="Compact"/>
      </w:pPr>
      <w:r>
        <w:rPr>
          <w:bCs/>
          <w:b/>
        </w:rPr>
        <w:t xml:space="preserve">Doha Sports City:</w:t>
      </w:r>
      <w:r>
        <w:t xml:space="preserve"> </w:t>
      </w:r>
      <w:r>
        <w:t xml:space="preserve">28% increase in athlete nutrition services for elite teams and fitness centers</w:t>
      </w:r>
    </w:p>
    <w:p>
      <w:pPr>
        <w:numPr>
          <w:ilvl w:val="0"/>
          <w:numId w:val="1002"/>
        </w:numPr>
        <w:pStyle w:val="Compact"/>
      </w:pPr>
      <w:r>
        <w:rPr>
          <w:bCs/>
          <w:b/>
        </w:rPr>
        <w:t xml:space="preserve">Gulf Medical City:</w:t>
      </w:r>
      <w:r>
        <w:t xml:space="preserve"> </w:t>
      </w:r>
      <w:r>
        <w:t xml:space="preserve">Strategic partnership securing hospital referrals for post-bariatric care</w:t>
      </w:r>
    </w:p>
    <w:p>
      <w:pPr>
        <w:pStyle w:val="FirstParagraph"/>
      </w:pPr>
      <w:r>
        <w:t xml:space="preserve">Cultural intelligence proved critical. Our Dietitian team developed Ramadan-specific meal plans that respect Islamic practices while meeting nutritional goals, resulting in a 45% higher client retention during Eid seasons compared to previous years. This localized approach directly addresses Qatar's unique wellness challenges.</w:t>
      </w:r>
    </w:p>
    <w:bookmarkEnd w:id="23"/>
    <w:bookmarkStart w:id="24" w:name="challenges-strategic-imperatives"/>
    <w:p>
      <w:pPr>
        <w:pStyle w:val="Heading2"/>
      </w:pPr>
      <w:r>
        <w:t xml:space="preserve">Challenges &amp; Strategic Imperatives</w:t>
      </w:r>
    </w:p>
    <w:p>
      <w:pPr>
        <w:pStyle w:val="FirstParagraph"/>
      </w:pPr>
      <w:r>
        <w:t xml:space="preserve">Despite strong performance, two key challenges require immediate attention as identified in our Sales Report:</w:t>
      </w:r>
    </w:p>
    <w:p>
      <w:pPr>
        <w:numPr>
          <w:ilvl w:val="0"/>
          <w:numId w:val="1003"/>
        </w:numPr>
        <w:pStyle w:val="Compact"/>
      </w:pPr>
      <w:r>
        <w:rPr>
          <w:bCs/>
          <w:b/>
        </w:rPr>
        <w:t xml:space="preserve">Cultural Sensitivity Gaps:</w:t>
      </w:r>
      <w:r>
        <w:t xml:space="preserve"> </w:t>
      </w:r>
      <w:r>
        <w:t xml:space="preserve">15% of new clients requested dietary adjustments for traditional Qatari dishes. We're launching a "Qatar Heritage Nutrition" training module for all Dietitian staff by Q1 2024 to address this.</w:t>
      </w:r>
    </w:p>
    <w:p>
      <w:pPr>
        <w:numPr>
          <w:ilvl w:val="0"/>
          <w:numId w:val="1003"/>
        </w:numPr>
        <w:pStyle w:val="Compact"/>
      </w:pPr>
      <w:r>
        <w:rPr>
          <w:bCs/>
          <w:b/>
        </w:rPr>
        <w:t xml:space="preserve">Competitor Price Pressure:</w:t>
      </w:r>
      <w:r>
        <w:t xml:space="preserve"> </w:t>
      </w:r>
      <w:r>
        <w:t xml:space="preserve">Local clinics are underpricing services, threatening our premium positioning. Our solution involves bundling with fitness trackers and telehealth consultations to justify value-based pricing.</w:t>
      </w:r>
    </w:p>
    <w:p>
      <w:pPr>
        <w:pStyle w:val="FirstParagraph"/>
      </w:pPr>
      <w:r>
        <w:t xml:space="preserve">The Qatar government's new "Healthy Living" campaign (launched June 2023) presents a massive opportunity. We've secured partnership status with the Ministry of Public Health for their corporate wellness initiative, guaranteeing 50+ new client touchpoints by year-end.</w:t>
      </w:r>
    </w:p>
    <w:bookmarkEnd w:id="24"/>
    <w:bookmarkStart w:id="25" w:name="X6669580cf412091941555b93e5af62a961e0392"/>
    <w:p>
      <w:pPr>
        <w:pStyle w:val="Heading2"/>
      </w:pPr>
      <w:r>
        <w:t xml:space="preserve">Strategic Recommendations for Qatar Doha Market</w:t>
      </w:r>
    </w:p>
    <w:p>
      <w:pPr>
        <w:pStyle w:val="FirstParagraph"/>
      </w:pPr>
      <w:r>
        <w:t xml:space="preserve">Based on our Sales Report analysis, we recommend three priority actions:</w:t>
      </w:r>
    </w:p>
    <w:p>
      <w:pPr>
        <w:numPr>
          <w:ilvl w:val="0"/>
          <w:numId w:val="1004"/>
        </w:numPr>
        <w:pStyle w:val="Compact"/>
      </w:pPr>
      <w:r>
        <w:rPr>
          <w:bCs/>
          <w:b/>
        </w:rPr>
        <w:t xml:space="preserve">Expand Mobile Dietitian Units:</w:t>
      </w:r>
      <w:r>
        <w:t xml:space="preserve"> </w:t>
      </w:r>
      <w:r>
        <w:t xml:space="preserve">Deploy 3 premium mobile clinics to serve remote areas like Al Wakrah and Umm Salal, where healthcare access is limited. This addresses Qatar Doha's growing suburban population.</w:t>
      </w:r>
    </w:p>
    <w:p>
      <w:pPr>
        <w:numPr>
          <w:ilvl w:val="0"/>
          <w:numId w:val="1004"/>
        </w:numPr>
        <w:pStyle w:val="Compact"/>
      </w:pPr>
      <w:r>
        <w:rPr>
          <w:bCs/>
          <w:b/>
        </w:rPr>
        <w:t xml:space="preserve">Develop Diabetes-Specific Package:</w:t>
      </w:r>
      <w:r>
        <w:t xml:space="preserve"> </w:t>
      </w:r>
      <w:r>
        <w:t xml:space="preserve">Leverage Qatar's 19% diabetes rate with a subsidized corporate package for high-risk industries (e.g., hospitality, manufacturing). Pilot pricing at QR 450/month (60% below standard) to drive volume.</w:t>
      </w:r>
    </w:p>
    <w:p>
      <w:pPr>
        <w:numPr>
          <w:ilvl w:val="0"/>
          <w:numId w:val="1004"/>
        </w:numPr>
        <w:pStyle w:val="Compact"/>
      </w:pPr>
      <w:r>
        <w:rPr>
          <w:bCs/>
          <w:b/>
        </w:rPr>
        <w:t xml:space="preserve">Leverage Ramadan Seasonal Strategy:</w:t>
      </w:r>
      <w:r>
        <w:t xml:space="preserve"> </w:t>
      </w:r>
      <w:r>
        <w:t xml:space="preserve">Launch "Ramadan Nutrition Mastery" workshops in partnership with mosques and community centers. This aligns with Qatar's cultural calendar and positions us as a trusted local partner for Dietitian services.</w:t>
      </w:r>
    </w:p>
    <w:p>
      <w:pPr>
        <w:pStyle w:val="FirstParagraph"/>
      </w:pPr>
      <w:r>
        <w:t xml:space="preserve">These initiatives directly respond to the unique demands of Qatar Doha, where 78% of our clients prioritize cultural alignment over cost – a critical insight from our client satisfaction surveys.</w:t>
      </w:r>
    </w:p>
    <w:bookmarkEnd w:id="25"/>
    <w:bookmarkStart w:id="26" w:name="X2ad04ad69d4acd2d3ac07a8f85871196d16c2cc"/>
    <w:p>
      <w:pPr>
        <w:pStyle w:val="Heading2"/>
      </w:pPr>
      <w:r>
        <w:t xml:space="preserve">Financial Projections &amp; Investment Justification</w:t>
      </w:r>
    </w:p>
    <w:p>
      <w:pPr>
        <w:pStyle w:val="FirstParagraph"/>
      </w:pPr>
      <w:r>
        <w:t xml:space="preserve">Our Q4 projections forecast $2.3M in revenue (30% growth) based on current sales pipeline. The mobile clinic investment requires $185,000 but is projected to generate $978,000 in additional revenue within 18 months – a 529% ROI. Crucially, these investments will strengthen our market leadership during Qatar's major international events (e.g., FIFA World Cup legacy projects), where health infrastructure remains a priority.</w:t>
      </w:r>
    </w:p>
    <w:bookmarkEnd w:id="26"/>
    <w:bookmarkStart w:id="27" w:name="Xdd8fe9101a6e31862a2390bf5ec5f00fb8599a2"/>
    <w:p>
      <w:pPr>
        <w:pStyle w:val="Heading2"/>
      </w:pPr>
      <w:r>
        <w:t xml:space="preserve">Conclusion: The Future of Dietitian Services in Qatar Doha</w:t>
      </w:r>
    </w:p>
    <w:p>
      <w:pPr>
        <w:pStyle w:val="FirstParagraph"/>
      </w:pPr>
      <w:r>
        <w:t xml:space="preserve">This Sales Report unequivocally confirms that premium Dietitian services are no longer a luxury but an essential component of Qatar's healthcare ecosystem. The strategic focus on cultural competence, corporate partnerships, and data-driven service customization has positioned us for sustained dominance in the Qatar Doha market. As the national health strategy accelerates, our Dietitian program is perfectly aligned with Qatar's vision for preventative care – transforming nutrition from an afterthought to a cornerstone of community wellness.</w:t>
      </w:r>
    </w:p>
    <w:p>
      <w:pPr>
        <w:pStyle w:val="BodyText"/>
      </w:pPr>
      <w:r>
        <w:t xml:space="preserve">Looking ahead, we recommend doubling down on hyper-localized solutions: developing a "Qatar Diabetic Cuisine" database and training all Dietitian staff in Gulf Arabic nutritional terminology. These investments will further cement our reputation as the preeminent provider of culturally intelligent Dietitian services in Qatar Doha. The market is clear: when clients seek a Dietitian, they expect expertise that understands Qatar's unique health landscape – and we are delivering that at scale.</w:t>
      </w:r>
    </w:p>
    <w:bookmarkEnd w:id="27"/>
    <w:bookmarkStart w:id="28" w:name="X1ec08371b1caf259ac36f07c65b3b26ef6b49de"/>
    <w:p>
      <w:pPr>
        <w:pStyle w:val="Heading2"/>
      </w:pPr>
      <w:r>
        <w:t xml:space="preserve">Appendix: Key Performance Indicators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Total Revenue (USD)</w:t>
      </w:r>
    </w:p>
    <w:p>
      <w:pPr>
        <w:pStyle w:val="BodyText"/>
      </w:pPr>
      <w:r>
        <w:t xml:space="preserve">$1,850,000</w:t>
      </w:r>
    </w:p>
    <w:p>
      <w:pPr>
        <w:pStyle w:val="BodyText"/>
      </w:pPr>
      <w:r>
        <w:t xml:space="preserve">+38%</w:t>
      </w:r>
    </w:p>
    <w:p>
      <w:pPr>
        <w:pStyle w:val="BodyText"/>
      </w:pPr>
      <w:r>
        <w:t xml:space="preserve">$1,425,000</w:t>
      </w:r>
    </w:p>
    <w:p>
      <w:pPr>
        <w:pStyle w:val="BodyText"/>
      </w:pPr>
      <w:r>
        <w:t xml:space="preserve">New Corporate Clients</w:t>
      </w:r>
    </w:p>
    <w:p>
      <w:pPr>
        <w:pStyle w:val="BodyText"/>
      </w:pPr>
      <w:r>
        <w:t xml:space="preserve">42</w:t>
      </w:r>
    </w:p>
    <w:p>
      <w:pPr>
        <w:pStyle w:val="BodyText"/>
      </w:pPr>
      <w:r>
        <w:t xml:space="preserve">+73%</w:t>
      </w:r>
    </w:p>
    <w:p>
      <w:pPr>
        <w:pStyle w:val="BodyText"/>
      </w:pPr>
      <w:r>
        <w:t xml:space="preserve">Cultural Adaptation Requests Handled</w:t>
      </w:r>
    </w:p>
    <w:p>
      <w:pPr>
        <w:pStyle w:val="BodyText"/>
      </w:pPr>
      <w:r>
        <w:t xml:space="preserve">89% of cases resolved within 48hrs(vs 65% Q2)</w:t>
      </w:r>
    </w:p>
    <w:p>
      <w:pPr>
        <w:pStyle w:val="BodyText"/>
      </w:pPr>
      <w:r>
        <w:t xml:space="preserve">Client Satisfaction (NPS)</w:t>
      </w:r>
    </w:p>
    <w:p>
      <w:pPr>
        <w:pStyle w:val="BodyText"/>
      </w:pPr>
      <w:r>
        <w:t xml:space="preserve">76(Industry Avg: 52)</w:t>
      </w:r>
    </w:p>
    <w:p>
      <w:pPr>
        <w:pStyle w:val="BodyText"/>
      </w:pPr>
      <w:r>
        <w:t xml:space="preserve">This Sales Report was prepared exclusively for Qatar Doha market operations, reflecting the strategic importance of specialized Dietitian services in achieving national health objectives. All data sourced from our proprietary Doha Customer Relationship Management system (QatarHealth Analytics).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Dietitian Sales Report</dc:title>
  <dc:creator/>
  <dc:language>en</dc:language>
  <cp:keywords/>
  <dcterms:created xsi:type="dcterms:W3CDTF">2025-12-12T13:33:05Z</dcterms:created>
  <dcterms:modified xsi:type="dcterms:W3CDTF">2025-12-12T13:33:05Z</dcterms:modified>
</cp:coreProperties>
</file>

<file path=docProps/custom.xml><?xml version="1.0" encoding="utf-8"?>
<Properties xmlns="http://schemas.openxmlformats.org/officeDocument/2006/custom-properties" xmlns:vt="http://schemas.openxmlformats.org/officeDocument/2006/docPropsVTypes"/>
</file>