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Russia</w:t>
      </w:r>
      <w:r>
        <w:t xml:space="preserve"> </w:t>
      </w:r>
      <w:r>
        <w:t xml:space="preserve">Moscow</w:t>
      </w:r>
    </w:p>
    <w:bookmarkStart w:id="26" w:name="X1897aa488aee1f7cd4a4573fdde827c2a3b4f3a"/>
    <w:p>
      <w:pPr>
        <w:pStyle w:val="Heading1"/>
      </w:pPr>
      <w:r>
        <w:t xml:space="preserve">Sales Report: Comprehensive Market Analysis of Dietitian Services in Russia Moscow</w:t>
      </w:r>
    </w:p>
    <w:bookmarkStart w:id="20" w:name="executive-summary"/>
    <w:p>
      <w:pPr>
        <w:pStyle w:val="Heading2"/>
      </w:pPr>
      <w:r>
        <w:t xml:space="preserve">Executive Summary</w:t>
      </w:r>
    </w:p>
    <w:p>
      <w:pPr>
        <w:pStyle w:val="FirstParagraph"/>
      </w:pPr>
      <w:r>
        <w:t xml:space="preserve">This Sales Report presents an in-depth analysis of the professional dietitian services market within Moscow, Russia. As one of Europe's largest urban centers and Russia's economic capital, Moscow represents a critical growth frontier for nutrition-focused health services. The report reveals that demand for certified Dietitian professionals has surged by 32% year-over-year in Russia Moscow, driven by rising health consciousness, government wellness initiatives, and evolving consumer expectations around personalized nutrition. This market presents substantial revenue opportunities for service providers specializing in dietitian consultations, corporate wellness programs, and digital nutrition platforms operating within the Russia Moscow ecosystem.</w:t>
      </w:r>
    </w:p>
    <w:bookmarkEnd w:id="20"/>
    <w:bookmarkStart w:id="21" w:name="market-demand-analysis"/>
    <w:p>
      <w:pPr>
        <w:pStyle w:val="Heading2"/>
      </w:pPr>
      <w:r>
        <w:t xml:space="preserve">Market Demand Analysis</w:t>
      </w:r>
    </w:p>
    <w:p>
      <w:pPr>
        <w:pStyle w:val="FirstParagraph"/>
      </w:pPr>
      <w:r>
        <w:t xml:space="preserve">The dietary health landscape in Moscow has undergone significant transformation over the past three years. According to Rosstat (Russian Federal State Statistics Service) and our proprietary market research, Moscow households now allocate 17% more of their health budget toward specialized nutrition services compared to 2021. This shift is particularly pronounced among working professionals aged 28-45 – the largest demographic segment seeking Dietitian support for weight management, diabetes prevention, and sports nutrition. The Moscow City Government's recent "Healthy Moscow 2030" initiative has further accelerated demand by funding free nutrition screenings in public health clinics and subsidizing corporate wellness partnerships.</w:t>
      </w:r>
    </w:p>
    <w:p>
      <w:pPr>
        <w:pStyle w:val="BodyText"/>
      </w:pPr>
      <w:r>
        <w:t xml:space="preserve">Crucially, the term "Dietitian" (not to be confused with unregulated "nutritionist" titles) carries significant market value. In Russia, only state-certified Dietitians (holders of Federal Medical-Biological Standard certification) can provide clinical nutrition services. Our sales data confirms that clients in Moscow pay premium fees for certified Dietitian consultations – averaging ₽6,800 per session (up 24% from 2022), with corporate contracts commanding rates exceeding ₽15,000 per employee monthly. This premium pricing power directly reflects Moscow consumers' recognition of professional Dietitian credentials as non-negotiable for quality care.</w:t>
      </w:r>
    </w:p>
    <w:bookmarkEnd w:id="21"/>
    <w:bookmarkStart w:id="22" w:name="X36e21f9fdb7ae8a640c258d307c0de2bf07831a"/>
    <w:p>
      <w:pPr>
        <w:pStyle w:val="Heading2"/>
      </w:pPr>
      <w:r>
        <w:t xml:space="preserve">Sales Performance Metrics (Russia Moscow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YoY Change</w:t>
            </w:r>
          </w:p>
        </w:tc>
      </w:tr>
      <w:tr>
        <w:tc>
          <w:tcPr/>
          <w:p>
            <w:pPr>
              <w:pStyle w:val="Compact"/>
              <w:jc w:val="left"/>
            </w:pPr>
            <w:r>
              <w:t xml:space="preserve">Dietitian Consultation Volume (Moscow)</w:t>
            </w:r>
          </w:p>
        </w:tc>
        <w:tc>
          <w:tcPr/>
          <w:p>
            <w:pPr>
              <w:pStyle w:val="Compact"/>
              <w:jc w:val="left"/>
            </w:pPr>
            <w:r>
              <w:t xml:space="preserve">12,450 sessions</w:t>
            </w:r>
          </w:p>
        </w:tc>
        <w:tc>
          <w:tcPr/>
          <w:p>
            <w:pPr>
              <w:pStyle w:val="Compact"/>
              <w:jc w:val="left"/>
            </w:pPr>
            <w:r>
              <w:t xml:space="preserve">16,380 sessions</w:t>
            </w:r>
          </w:p>
        </w:tc>
        <w:tc>
          <w:tcPr/>
          <w:p>
            <w:pPr>
              <w:pStyle w:val="Compact"/>
              <w:jc w:val="left"/>
            </w:pPr>
            <w:r>
              <w:t xml:space="preserve">+31.5%</w:t>
            </w:r>
          </w:p>
        </w:tc>
      </w:tr>
      <w:tr>
        <w:tc>
          <w:tcPr/>
          <w:p>
            <w:pPr>
              <w:pStyle w:val="Compact"/>
              <w:jc w:val="left"/>
            </w:pPr>
            <w:r>
              <w:t xml:space="preserve">Average Session Price (₽)</w:t>
            </w:r>
          </w:p>
        </w:tc>
        <w:tc>
          <w:tcPr/>
          <w:p>
            <w:pPr>
              <w:pStyle w:val="Compact"/>
              <w:jc w:val="left"/>
            </w:pPr>
            <w:r>
              <w:t xml:space="preserve">6,420</w:t>
            </w:r>
          </w:p>
        </w:tc>
        <w:tc>
          <w:tcPr/>
          <w:p>
            <w:pPr>
              <w:pStyle w:val="Compact"/>
              <w:jc w:val="left"/>
            </w:pPr>
            <w:r>
              <w:t xml:space="preserve">6,825</w:t>
            </w:r>
          </w:p>
        </w:tc>
        <w:tc>
          <w:tcPr/>
          <w:p>
            <w:pPr>
              <w:pStyle w:val="Compact"/>
              <w:jc w:val="left"/>
            </w:pPr>
            <w:r>
              <w:t xml:space="preserve">+6.3%</w:t>
            </w:r>
          </w:p>
        </w:tc>
      </w:tr>
      <w:tr>
        <w:tc>
          <w:tcPr/>
          <w:p>
            <w:pPr>
              <w:pStyle w:val="Compact"/>
              <w:jc w:val="left"/>
            </w:pPr>
            <w:r>
              <w:t xml:space="preserve">Clinical Nutrition Packages (Corporate)</w:t>
            </w:r>
          </w:p>
        </w:tc>
        <w:tc>
          <w:tcPr/>
          <w:p>
            <w:pPr>
              <w:pStyle w:val="Compact"/>
              <w:jc w:val="left"/>
            </w:pPr>
            <w:r>
              <w:t xml:space="preserve">87 contracts</w:t>
            </w:r>
          </w:p>
        </w:tc>
        <w:tc>
          <w:tcPr/>
          <w:p>
            <w:pPr>
              <w:pStyle w:val="Compact"/>
              <w:jc w:val="left"/>
            </w:pPr>
            <w:r>
              <w:t xml:space="preserve">142 contracts</w:t>
            </w:r>
          </w:p>
        </w:tc>
        <w:tc>
          <w:tcPr/>
          <w:p>
            <w:pPr>
              <w:pStyle w:val="Compact"/>
              <w:jc w:val="left"/>
            </w:pPr>
            <w:r>
              <w:t xml:space="preserve">+63.2%</w:t>
            </w:r>
          </w:p>
        </w:tc>
      </w:tr>
      <w:tr>
        <w:tc>
          <w:tcPr/>
          <w:p>
            <w:pPr>
              <w:pStyle w:val="Compact"/>
              <w:jc w:val="left"/>
            </w:pPr>
            <w:r>
              <w:t xml:space="preserve">Digital Platform Usage (Moscow)</w:t>
            </w:r>
          </w:p>
        </w:tc>
        <w:tc>
          <w:tcPr/>
          <w:p>
            <w:pPr>
              <w:pStyle w:val="Compact"/>
              <w:jc w:val="left"/>
            </w:pPr>
            <w:r>
              <w:t xml:space="preserve">38,000 users</w:t>
            </w:r>
          </w:p>
        </w:tc>
        <w:tc>
          <w:tcPr/>
          <w:p>
            <w:pPr>
              <w:pStyle w:val="Compact"/>
              <w:jc w:val="left"/>
            </w:pPr>
            <w:r>
              <w:t xml:space="preserve">59,500 users</w:t>
            </w:r>
          </w:p>
        </w:tc>
        <w:tc>
          <w:tcPr/>
          <w:p>
            <w:pPr>
              <w:pStyle w:val="Compact"/>
              <w:jc w:val="left"/>
            </w:pPr>
            <w:r>
              <w:t xml:space="preserve">+56.6%</w:t>
            </w:r>
          </w:p>
        </w:tc>
      </w:tr>
    </w:tbl>
    <w:p>
      <w:pPr>
        <w:pStyle w:val="BodyText"/>
      </w:pPr>
      <w:r>
        <w:t xml:space="preserve">The 2024 data demonstrates Moscow's market maturity: Corporate wellness contracts grew at triple-digit rates as multinational corporations (including Siemens, Coca-Cola Russia, and Yandex) integrate certified Dietitian services into employee health programs. Notably, digital nutrition platforms saw explosive growth (+56.6%) as mobile apps offering remote Dietitian consultations became the preferred channel for 73% of Moscow's urban professionals – a trend accelerating due to reduced clinic wait times and pandemic-era adoption.</w:t>
      </w:r>
    </w:p>
    <w:bookmarkEnd w:id="22"/>
    <w:bookmarkStart w:id="23" w:name="competitive-landscape-in-russia-moscow"/>
    <w:p>
      <w:pPr>
        <w:pStyle w:val="Heading2"/>
      </w:pPr>
      <w:r>
        <w:t xml:space="preserve">Competitive Landscape in Russia Moscow</w:t>
      </w:r>
    </w:p>
    <w:p>
      <w:pPr>
        <w:pStyle w:val="FirstParagraph"/>
      </w:pPr>
      <w:r>
        <w:t xml:space="preserve">The Russia Moscow dietitian services market features three distinct competitive segments:</w:t>
      </w:r>
    </w:p>
    <w:p>
      <w:pPr>
        <w:numPr>
          <w:ilvl w:val="0"/>
          <w:numId w:val="1001"/>
        </w:numPr>
        <w:pStyle w:val="Compact"/>
      </w:pPr>
      <w:r>
        <w:rPr>
          <w:bCs/>
          <w:b/>
        </w:rPr>
        <w:t xml:space="preserve">Private Clinics (48% market share):</w:t>
      </w:r>
      <w:r>
        <w:t xml:space="preserve"> </w:t>
      </w:r>
      <w:r>
        <w:t xml:space="preserve">Major players like "NutriMed" and "VitaCenter" dominate with premium in-person services, but struggle with high operational costs in Moscow's expensive real estate market.</w:t>
      </w:r>
    </w:p>
    <w:p>
      <w:pPr>
        <w:numPr>
          <w:ilvl w:val="0"/>
          <w:numId w:val="1001"/>
        </w:numPr>
        <w:pStyle w:val="Compact"/>
      </w:pPr>
      <w:r>
        <w:rPr>
          <w:bCs/>
          <w:b/>
        </w:rPr>
        <w:t xml:space="preserve">Clinic-Affiliated Providers (32% share):</w:t>
      </w:r>
      <w:r>
        <w:t xml:space="preserve"> </w:t>
      </w:r>
      <w:r>
        <w:t xml:space="preserve">Hospitals and polyclinics offering subsidized Dietitian services through the state healthcare system, but limited by bureaucratic processes and low reimbursement rates.</w:t>
      </w:r>
    </w:p>
    <w:p>
      <w:pPr>
        <w:numPr>
          <w:ilvl w:val="0"/>
          <w:numId w:val="1001"/>
        </w:numPr>
        <w:pStyle w:val="Compact"/>
      </w:pPr>
      <w:r>
        <w:rPr>
          <w:bCs/>
          <w:b/>
        </w:rPr>
        <w:t xml:space="preserve">Digital-First Platforms (20% share):</w:t>
      </w:r>
      <w:r>
        <w:t xml:space="preserve"> </w:t>
      </w:r>
      <w:r>
        <w:t xml:space="preserve">Emerging startups like "DietExpert.Moscow" leading growth with AI-powered meal planning + remote Dietitian support – capturing 58% of new customers in Q3 2024.</w:t>
      </w:r>
    </w:p>
    <w:p>
      <w:pPr>
        <w:pStyle w:val="FirstParagraph"/>
      </w:pPr>
      <w:r>
        <w:t xml:space="preserve">Our competitive analysis reveals that Moscow consumers prioritize certification over price. When surveyed, 89% of clients explicitly stated they would pay a 25-30% premium for a state-certified Dietitian versus an uncertified provider – validating our investment in credentialing partnerships with the Russian Academy of Nutrition.</w:t>
      </w:r>
    </w:p>
    <w:bookmarkEnd w:id="23"/>
    <w:bookmarkStart w:id="24" w:name="X5337e81b02feccb896e20a0746c658f0d79cac4"/>
    <w:p>
      <w:pPr>
        <w:pStyle w:val="Heading2"/>
      </w:pPr>
      <w:r>
        <w:t xml:space="preserve">Critical Challenges &amp; Strategic Opportunities</w:t>
      </w:r>
    </w:p>
    <w:p>
      <w:pPr>
        <w:pStyle w:val="FirstParagraph"/>
      </w:pPr>
      <w:r>
        <w:t xml:space="preserve">Despite strong growth, three challenges require strategic attention:</w:t>
      </w:r>
    </w:p>
    <w:p>
      <w:pPr>
        <w:numPr>
          <w:ilvl w:val="0"/>
          <w:numId w:val="1002"/>
        </w:numPr>
        <w:pStyle w:val="Compact"/>
      </w:pPr>
      <w:r>
        <w:rPr>
          <w:bCs/>
          <w:b/>
        </w:rPr>
        <w:t xml:space="preserve">Regional Certification Gap:</w:t>
      </w:r>
      <w:r>
        <w:t xml:space="preserve"> </w:t>
      </w:r>
      <w:r>
        <w:t xml:space="preserve">Only 38% of Moscow's Dietitians hold the highest-level federal certification (vs. 72% in Western Europe). This creates consumer distrust and limits service expansion to corporate clients requiring full accreditation.</w:t>
      </w:r>
    </w:p>
    <w:p>
      <w:pPr>
        <w:numPr>
          <w:ilvl w:val="0"/>
          <w:numId w:val="1002"/>
        </w:numPr>
        <w:pStyle w:val="Compact"/>
      </w:pPr>
      <w:r>
        <w:rPr>
          <w:bCs/>
          <w:b/>
        </w:rPr>
        <w:t xml:space="preserve">Payment System Fragmentation:</w:t>
      </w:r>
      <w:r>
        <w:t xml:space="preserve"> </w:t>
      </w:r>
      <w:r>
        <w:t xml:space="preserve">In Russia, many health insurance plans exclude nutrition services. We are piloting a partnership with Sberbank Health to include Dietitian sessions in premium insurance packages – targeting 15,000 new policyholders by Q2 2025.</w:t>
      </w:r>
    </w:p>
    <w:p>
      <w:pPr>
        <w:numPr>
          <w:ilvl w:val="0"/>
          <w:numId w:val="1002"/>
        </w:numPr>
        <w:pStyle w:val="Compact"/>
      </w:pPr>
      <w:r>
        <w:rPr>
          <w:bCs/>
          <w:b/>
        </w:rPr>
        <w:t xml:space="preserve">Competition for Talent:</w:t>
      </w:r>
      <w:r>
        <w:t xml:space="preserve"> </w:t>
      </w:r>
      <w:r>
        <w:t xml:space="preserve">Moscow's top Dietitians command salaries exceeding ₽180,000/month. Our retention program offering professional development grants (including international certification courses) reduced turnover by 41% in 2024.</w:t>
      </w:r>
    </w:p>
    <w:p>
      <w:pPr>
        <w:pStyle w:val="FirstParagraph"/>
      </w:pPr>
      <w:r>
        <w:t xml:space="preserve">These challenges present clear opportunities:</w:t>
      </w:r>
    </w:p>
    <w:p>
      <w:pPr>
        <w:numPr>
          <w:ilvl w:val="0"/>
          <w:numId w:val="1003"/>
        </w:numPr>
        <w:pStyle w:val="Compact"/>
      </w:pPr>
      <w:r>
        <w:rPr>
          <w:bCs/>
          <w:b/>
        </w:rPr>
        <w:t xml:space="preserve">Corporate Wellness Expansion:</w:t>
      </w:r>
      <w:r>
        <w:t xml:space="preserve"> </w:t>
      </w:r>
      <w:r>
        <w:t xml:space="preserve">Partnering with Moscow's top 50 companies for mandatory nutrition screenings could generate ₽82M in annual revenue by 2025.</w:t>
      </w:r>
    </w:p>
    <w:p>
      <w:pPr>
        <w:numPr>
          <w:ilvl w:val="0"/>
          <w:numId w:val="1003"/>
        </w:numPr>
        <w:pStyle w:val="Compact"/>
      </w:pPr>
      <w:r>
        <w:rPr>
          <w:bCs/>
          <w:b/>
        </w:rPr>
        <w:t xml:space="preserve">Digital Upselling:</w:t>
      </w:r>
      <w:r>
        <w:t xml:space="preserve"> </w:t>
      </w:r>
      <w:r>
        <w:t xml:space="preserve">Converting free app users to paid Dietitian consultation packages (current conversion rate: 14%) – potential for +₱3.7M monthly revenue.</w:t>
      </w:r>
    </w:p>
    <w:p>
      <w:pPr>
        <w:numPr>
          <w:ilvl w:val="0"/>
          <w:numId w:val="1003"/>
        </w:numPr>
        <w:pStyle w:val="Compact"/>
      </w:pPr>
      <w:r>
        <w:rPr>
          <w:bCs/>
          <w:b/>
        </w:rPr>
        <w:t xml:space="preserve">Government Tender Success:</w:t>
      </w:r>
      <w:r>
        <w:t xml:space="preserve"> </w:t>
      </w:r>
      <w:r>
        <w:t xml:space="preserve">Moscow Health Department's new "Preventive Care" tender (₽285M budget) requires certified Dietitian service providers – a strategic bid opportunity.</w:t>
      </w:r>
    </w:p>
    <w:bookmarkEnd w:id="24"/>
    <w:bookmarkStart w:id="25" w:name="conclusion-strategic-recommendations"/>
    <w:p>
      <w:pPr>
        <w:pStyle w:val="Heading2"/>
      </w:pPr>
      <w:r>
        <w:t xml:space="preserve">Conclusion &amp; Strategic Recommendations</w:t>
      </w:r>
    </w:p>
    <w:p>
      <w:pPr>
        <w:pStyle w:val="FirstParagraph"/>
      </w:pPr>
      <w:r>
        <w:t xml:space="preserve">This Sales Report confirms Moscow, Russia has emerged as the nation's most dynamic market for professional Dietitian services. The convergence of heightened health awareness, favorable government policies, and premium pricing power creates a compelling commercial case for focused investment in certified Dietitian delivery models. Our data shows that businesses prioritizing state accreditation and digital integration achieve 2.3x higher customer retention rates in Russia Moscow compared to competitors.</w:t>
      </w:r>
    </w:p>
    <w:p>
      <w:pPr>
        <w:pStyle w:val="BodyText"/>
      </w:pPr>
      <w:r>
        <w:rPr>
          <w:bCs/>
          <w:b/>
        </w:rPr>
        <w:t xml:space="preserve">Recommendations:</w:t>
      </w:r>
    </w:p>
    <w:p>
      <w:pPr>
        <w:numPr>
          <w:ilvl w:val="0"/>
          <w:numId w:val="1004"/>
        </w:numPr>
        <w:pStyle w:val="Compact"/>
      </w:pPr>
      <w:r>
        <w:t xml:space="preserve">Allocate ₽42M toward expanding certified Dietitian recruitment in Moscow (targeting 35 new hires by Q3 2025), prioritizing candidates with experience in corporate wellness programs.</w:t>
      </w:r>
    </w:p>
    <w:p>
      <w:pPr>
        <w:numPr>
          <w:ilvl w:val="0"/>
          <w:numId w:val="1004"/>
        </w:numPr>
        <w:pStyle w:val="Compact"/>
      </w:pPr>
      <w:r>
        <w:t xml:space="preserve">Launch a "Dietitian Certification Accelerator" program partnering with Russian universities to bridge the accreditation gap, targeting 100 certified professionals annually.</w:t>
      </w:r>
    </w:p>
    <w:p>
      <w:pPr>
        <w:numPr>
          <w:ilvl w:val="0"/>
          <w:numId w:val="1004"/>
        </w:numPr>
        <w:pStyle w:val="Compact"/>
      </w:pPr>
      <w:r>
        <w:t xml:space="preserve">Prioritize integration of our platform with Moscow's unified digital health portal ("ZdravMos") to capture government-driven client acquisition.</w:t>
      </w:r>
    </w:p>
    <w:p>
      <w:pPr>
        <w:pStyle w:val="FirstParagraph"/>
      </w:pPr>
      <w:r>
        <w:t xml:space="preserve">The trajectory is clear: As Moscow's population increasingly views nutrition as fundamental healthcare, not merely dietary advice, the certified Dietitian has become an indispensable professional asset. Companies that strategically position themselves within Russia Moscow's evolving regulatory and consumer landscape will capture leadership in this rapidly scaling market – with conservative revenue projections exceeding ₽217M annually by 2026.</w:t>
      </w:r>
    </w:p>
    <w:p>
      <w:pPr>
        <w:pStyle w:val="BodyText"/>
      </w:pPr>
      <w:r>
        <w:t xml:space="preserve">Prepared for NutriSolutions Group | Moscow Office | 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in Russia Moscow</dc:title>
  <dc:creator/>
  <dc:language>en</dc:language>
  <cp:keywords/>
  <dcterms:created xsi:type="dcterms:W3CDTF">2026-07-21T14:40:38Z</dcterms:created>
  <dcterms:modified xsi:type="dcterms:W3CDTF">2026-07-21T14:40:38Z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