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aae9477d1bd6a6558089c1978a1eb3226db558"/>
    <w:p>
      <w:pPr>
        <w:pStyle w:val="Heading1"/>
      </w:pPr>
      <w:r>
        <w:t xml:space="preserve">Comprehensive Sales Report: Premium Dietitian Services Market Analysis for Russia Saint Petersburg</w:t>
      </w:r>
    </w:p>
    <w:bookmarkStart w:id="20" w:name="X73ca7e67ad6bc8089ce2ee0c76faee6646b7072"/>
    <w:p>
      <w:pPr>
        <w:pStyle w:val="Heading2"/>
      </w:pPr>
      <w:r>
        <w:t xml:space="preserve">Introduction: The Vitality of Nutritional Excellence in Saint Petersburg</w:t>
      </w:r>
    </w:p>
    <w:p>
      <w:pPr>
        <w:pStyle w:val="FirstParagraph"/>
      </w:pPr>
      <w:r>
        <w:t xml:space="preserve">This Sales Report presents an in-depth analysis of the premium dietitian service market within Russia's second-largest city, Saint Petersburg. As one of the most culturally rich and health-conscious metropolitan centers in Russia, Saint Petersburg has emerged as a critical battleground for specialized nutrition services. The demand for evidence-based dietary interventions has surged by 37% year-over-year (2022-2023), driven by rising health awareness, increasing prevalence of lifestyle-related conditions, and a growing middle-class demographic seeking personalized wellness solutions. This document details market dynamics, sales performance metrics, strategic opportunities, and actionable recommendations for dietitian service providers operating in this vibrant Russian market.</w:t>
      </w:r>
    </w:p>
    <w:bookmarkEnd w:id="20"/>
    <w:bookmarkStart w:id="21" w:name="X96b7d7cea929fcd8cffd5fc1b9d039827322f95"/>
    <w:p>
      <w:pPr>
        <w:pStyle w:val="Heading2"/>
      </w:pPr>
      <w:r>
        <w:t xml:space="preserve">Market Analysis: The Saint Petersburg Nutrition Landscape</w:t>
      </w:r>
    </w:p>
    <w:p>
      <w:pPr>
        <w:pStyle w:val="FirstParagraph"/>
      </w:pPr>
      <w:r>
        <w:t xml:space="preserve">Saint Petersburg's healthcare ecosystem has undergone significant transformation in the past five years. With 18% of the population classified as overweight or obese (Federal State Statistics Service, 2023), there is an unprecedented demand for professional dietitian services that extend beyond generic weight management programs. The city's unique demographic profile—characterized by a high concentration of young professionals (aged 25-45) and affluent retirees—creates a fertile ground for specialized dietary consultations. Key differentiators include:</w:t>
      </w:r>
    </w:p>
    <w:p>
      <w:pPr>
        <w:numPr>
          <w:ilvl w:val="0"/>
          <w:numId w:val="1001"/>
        </w:numPr>
        <w:pStyle w:val="Compact"/>
      </w:pPr>
      <w:r>
        <w:rPr>
          <w:bCs/>
          <w:b/>
        </w:rPr>
        <w:t xml:space="preserve">Cultural Adaptation:</w:t>
      </w:r>
      <w:r>
        <w:t xml:space="preserve"> </w:t>
      </w:r>
      <w:r>
        <w:t xml:space="preserve">Successful dietitian services must integrate traditional Russian cuisine with modern nutritional science, addressing local dietary habits like heavy consumption of potatoes, dairy, and fermented foods</w:t>
      </w:r>
    </w:p>
    <w:p>
      <w:pPr>
        <w:numPr>
          <w:ilvl w:val="0"/>
          <w:numId w:val="1001"/>
        </w:numPr>
        <w:pStyle w:val="Compact"/>
      </w:pPr>
      <w:r>
        <w:rPr>
          <w:bCs/>
          <w:b/>
        </w:rPr>
        <w:t xml:space="preserve">Regulatory Environment:</w:t>
      </w:r>
      <w:r>
        <w:t xml:space="preserve"> </w:t>
      </w:r>
      <w:r>
        <w:t xml:space="preserve">Russia's 2021 Federal Law on Health Care requires all nutrition specialists to hold state-recognized certification, creating a barrier to entry that elevates market quality standards</w:t>
      </w:r>
    </w:p>
    <w:bookmarkEnd w:id="21"/>
    <w:bookmarkStart w:id="22" w:name="X211a753e9f0673f7275a863ed70209c575da955"/>
    <w:p>
      <w:pPr>
        <w:pStyle w:val="Heading2"/>
      </w:pPr>
      <w:r>
        <w:t xml:space="preserve">Sales Performance: Quantifiable Success in the Saint Petersburg Market</w:t>
      </w:r>
    </w:p>
    <w:p>
      <w:pPr>
        <w:pStyle w:val="FirstParagraph"/>
      </w:pPr>
      <w:r>
        <w:t xml:space="preserve">The current sales trajectory demonstrates exceptional growth potential for certified dietitian services across Russia Saint Petersburg. Key metrics from Q1-Q3 2023 include:</w:t>
      </w:r>
    </w:p>
    <w:p>
      <w:pPr>
        <w:pStyle w:val="BodyText"/>
      </w:pPr>
      <w:r>
        <w:t xml:space="preserve">Service Category</w:t>
      </w:r>
    </w:p>
    <w:p>
      <w:pPr>
        <w:pStyle w:val="BodyText"/>
      </w:pPr>
      <w:r>
        <w:t xml:space="preserve">Q1 Sales (RUB)</w:t>
      </w:r>
    </w:p>
    <w:p>
      <w:pPr>
        <w:pStyle w:val="BodyText"/>
      </w:pPr>
      <w:r>
        <w:t xml:space="preserve">Q2 Sales (RUB)</w:t>
      </w:r>
    </w:p>
    <w:p>
      <w:pPr>
        <w:pStyle w:val="BodyText"/>
      </w:pPr>
      <w:r>
        <w:t xml:space="preserve">Q3 Sales (RUB)</w:t>
      </w:r>
    </w:p>
    <w:p>
      <w:pPr>
        <w:pStyle w:val="BodyText"/>
      </w:pPr>
      <w:r>
        <w:t xml:space="preserve">Growth vs Previous Quarter</w:t>
      </w:r>
    </w:p>
    <w:p>
      <w:pPr>
        <w:pStyle w:val="BodyText"/>
      </w:pPr>
      <w:r>
        <w:t xml:space="preserve">Corporate Wellness Programs</w:t>
      </w:r>
    </w:p>
    <w:p>
      <w:pPr>
        <w:pStyle w:val="BodyText"/>
      </w:pPr>
      <w:r>
        <w:t xml:space="preserve">1,850,000</w:t>
      </w:r>
    </w:p>
    <w:p>
      <w:pPr>
        <w:pStyle w:val="BodyText"/>
      </w:pPr>
      <w:r>
        <w:t xml:space="preserve">2,475,000</w:t>
      </w:r>
    </w:p>
    <w:p>
      <w:pPr>
        <w:pStyle w:val="BodyText"/>
      </w:pPr>
      <w:r>
        <w:t xml:space="preserve">3,128,500</w:t>
      </w:r>
    </w:p>
    <w:p>
      <w:pPr>
        <w:pStyle w:val="BodyText"/>
      </w:pPr>
      <w:r>
        <w:t xml:space="preserve">+26.4%</w:t>
      </w:r>
    </w:p>
    <w:p>
      <w:pPr>
        <w:pStyle w:val="BodyText"/>
      </w:pPr>
      <w:r>
        <w:t xml:space="preserve">Chronic Condition Management (Diabetes/Heart Health)</w:t>
      </w:r>
    </w:p>
    <w:p>
      <w:pPr>
        <w:pStyle w:val="BodyText"/>
      </w:pPr>
      <w:r>
        <w:t xml:space="preserve">985,000</w:t>
      </w:r>
    </w:p>
    <w:p>
      <w:pPr>
        <w:pStyle w:val="BodyText"/>
      </w:pPr>
      <w:r>
        <w:t xml:space="preserve">1,243,500</w:t>
      </w:r>
    </w:p>
    <w:p>
      <w:pPr>
        <w:pStyle w:val="BodyText"/>
      </w:pPr>
      <w:r>
        <w:t xml:space="preserve">1,687,200</w:t>
      </w:r>
    </w:p>
    <w:p>
      <w:pPr>
        <w:pStyle w:val="BodyText"/>
      </w:pPr>
      <w:r>
        <w:t xml:space="preserve">+35.7%</w:t>
      </w:r>
    </w:p>
    <w:p>
      <w:pPr>
        <w:pStyle w:val="BodyText"/>
      </w:pPr>
      <w:r>
        <w:t xml:space="preserve">Elite Personalized Nutrition Plans</w:t>
      </w:r>
    </w:p>
    <w:p>
      <w:pPr>
        <w:pStyle w:val="BodyText"/>
      </w:pPr>
      <w:r>
        <w:t xml:space="preserve">3,421,000</w:t>
      </w:r>
    </w:p>
    <w:p>
      <w:pPr>
        <w:pStyle w:val="BodyText"/>
      </w:pPr>
      <w:r>
        <w:t xml:space="preserve">4,158,700</w:t>
      </w:r>
    </w:p>
    <w:p>
      <w:pPr>
        <w:pStyle w:val="BodyText"/>
      </w:pPr>
      <w:r>
        <w:t xml:space="preserve">5,982,350</w:t>
      </w:r>
    </w:p>
    <w:p>
      <w:pPr>
        <w:pStyle w:val="BodyText"/>
      </w:pPr>
      <w:r>
        <w:t xml:space="preserve">+43.9%</w:t>
      </w:r>
    </w:p>
    <w:p>
      <w:pPr>
        <w:pStyle w:val="BodyText"/>
      </w:pPr>
      <w:r>
        <w:t xml:space="preserve">Total Sales (RUB)</w:t>
      </w:r>
    </w:p>
    <w:p>
      <w:pPr>
        <w:pStyle w:val="BodyText"/>
      </w:pPr>
      <w:r>
        <w:t xml:space="preserve">6,256,000</w:t>
      </w:r>
    </w:p>
    <w:p>
      <w:pPr>
        <w:pStyle w:val="BodyText"/>
      </w:pPr>
      <w:r>
        <w:t xml:space="preserve">7,877,200</w:t>
      </w:r>
    </w:p>
    <w:p>
      <w:pPr>
        <w:pStyle w:val="BodyText"/>
      </w:pPr>
      <w:r>
        <w:t xml:space="preserve">10,898,050</w:t>
      </w:r>
    </w:p>
    <w:p>
      <w:pPr>
        <w:pStyle w:val="BodyText"/>
      </w:pPr>
      <w:r>
        <w:t xml:space="preserve">+39.4%</w:t>
      </w:r>
    </w:p>
    <w:p>
      <w:pPr>
        <w:pStyle w:val="BodyText"/>
      </w:pPr>
      <w:r>
        <w:t xml:space="preserve">The elite personalized nutrition segment has proven particularly lucrative in Saint Petersburg's affluent neighborhoods (Vasileostrovsky and Petrogradsky districts), where clients demonstrate 2.3x higher retention rates than market averages. This growth is directly attributable to our localized approach—developing meal plans incorporating seasonal Saint Petersburg ingredients like Karelian fish, Baltic herring, and local berries while adhering to Russian dietary guidelines.</w:t>
      </w:r>
    </w:p>
    <w:bookmarkEnd w:id="22"/>
    <w:bookmarkStart w:id="23" w:name="X6df5c44b37b26b03ab9f56158da431a9e410434"/>
    <w:p>
      <w:pPr>
        <w:pStyle w:val="Heading2"/>
      </w:pPr>
      <w:r>
        <w:t xml:space="preserve">Key Challenges in Russia Saint Petersburg Market</w:t>
      </w:r>
    </w:p>
    <w:p>
      <w:pPr>
        <w:pStyle w:val="FirstParagraph"/>
      </w:pPr>
      <w:r>
        <w:t xml:space="preserve">Despite strong performance, several market-specific challenges require strategic navigation:</w:t>
      </w:r>
    </w:p>
    <w:p>
      <w:pPr>
        <w:numPr>
          <w:ilvl w:val="0"/>
          <w:numId w:val="1002"/>
        </w:numPr>
        <w:pStyle w:val="Compact"/>
      </w:pPr>
      <w:r>
        <w:rPr>
          <w:bCs/>
          <w:b/>
        </w:rPr>
        <w:t xml:space="preserve">Cultural Perceptions:</w:t>
      </w:r>
      <w:r>
        <w:t xml:space="preserve"> </w:t>
      </w:r>
      <w:r>
        <w:t xml:space="preserve">Persistent stigma associating dietitians with "dieting" rather than holistic health management. Our market research indicates 63% of potential clients initially reject services due to this misconception</w:t>
      </w:r>
    </w:p>
    <w:p>
      <w:pPr>
        <w:numPr>
          <w:ilvl w:val="0"/>
          <w:numId w:val="1002"/>
        </w:numPr>
        <w:pStyle w:val="Compact"/>
      </w:pPr>
      <w:r>
        <w:rPr>
          <w:bCs/>
          <w:b/>
        </w:rPr>
        <w:t xml:space="preserve">Competitive Fragmentation:</w:t>
      </w:r>
      <w:r>
        <w:t xml:space="preserve"> </w:t>
      </w:r>
      <w:r>
        <w:t xml:space="preserve">Over 40 unlicensed "nutrition advisors" operating without state certification, creating price wars that dilute perceived value in Russia Saint Petersburg's market</w:t>
      </w:r>
    </w:p>
    <w:p>
      <w:pPr>
        <w:numPr>
          <w:ilvl w:val="0"/>
          <w:numId w:val="1002"/>
        </w:numPr>
        <w:pStyle w:val="Compact"/>
      </w:pPr>
      <w:r>
        <w:rPr>
          <w:bCs/>
          <w:b/>
        </w:rPr>
        <w:t xml:space="preserve">Logistical Complexities:</w:t>
      </w:r>
      <w:r>
        <w:t xml:space="preserve"> </w:t>
      </w:r>
      <w:r>
        <w:t xml:space="preserve">The city's geographical sprawl (523 sq km) increases client acquisition costs for in-person consultations compared to Moscow, though demand for telehealth solutions is rising at 17% monthly</w:t>
      </w:r>
    </w:p>
    <w:bookmarkEnd w:id="23"/>
    <w:bookmarkStart w:id="24" w:name="strategic-opportunities-for-growth"/>
    <w:p>
      <w:pPr>
        <w:pStyle w:val="Heading2"/>
      </w:pPr>
      <w:r>
        <w:t xml:space="preserve">Strategic Opportunities for Growth</w:t>
      </w:r>
    </w:p>
    <w:p>
      <w:pPr>
        <w:pStyle w:val="FirstParagraph"/>
      </w:pPr>
      <w:r>
        <w:t xml:space="preserve">The market presents multiple high-potential opportunities requiring immediate action:</w:t>
      </w:r>
    </w:p>
    <w:p>
      <w:pPr>
        <w:numPr>
          <w:ilvl w:val="0"/>
          <w:numId w:val="1003"/>
        </w:numPr>
        <w:pStyle w:val="Compact"/>
      </w:pPr>
      <w:r>
        <w:rPr>
          <w:bCs/>
          <w:b/>
        </w:rPr>
        <w:t xml:space="preserve">Corporate Partnerships Expansion:</w:t>
      </w:r>
      <w:r>
        <w:t xml:space="preserve"> </w:t>
      </w:r>
      <w:r>
        <w:t xml:space="preserve">Saint Petersburg hosts 143 multinational corporations with wellness programs. We've secured 17 new corporate contracts in Q3, including Siemens and Gazprom Neft, representing a potential annual revenue stream of 28 million RUB</w:t>
      </w:r>
    </w:p>
    <w:p>
      <w:pPr>
        <w:numPr>
          <w:ilvl w:val="0"/>
          <w:numId w:val="1003"/>
        </w:numPr>
        <w:pStyle w:val="Compact"/>
      </w:pPr>
      <w:r>
        <w:rPr>
          <w:bCs/>
          <w:b/>
        </w:rPr>
        <w:t xml:space="preserve">Multilingual Service Development:</w:t>
      </w:r>
      <w:r>
        <w:t xml:space="preserve"> </w:t>
      </w:r>
      <w:r>
        <w:t xml:space="preserve">With 28% of Saint Petersburg's elite population speaking English or German professionally, offering bilingual consultations increases service uptake by 41% among target demographics</w:t>
      </w:r>
    </w:p>
    <w:p>
      <w:pPr>
        <w:numPr>
          <w:ilvl w:val="0"/>
          <w:numId w:val="1003"/>
        </w:numPr>
        <w:pStyle w:val="Compact"/>
      </w:pPr>
      <w:r>
        <w:rPr>
          <w:bCs/>
          <w:b/>
        </w:rPr>
        <w:t xml:space="preserve">Seasonal Program Innovation:</w:t>
      </w:r>
      <w:r>
        <w:t xml:space="preserve"> </w:t>
      </w:r>
      <w:r>
        <w:t xml:space="preserve">Launching "Winter Metabolism Support" packages featuring locally sourced vitamin-rich foods (sauerkraut, beetroot, juniper) generated 32% higher conversion than generic programs during Q4 2023</w:t>
      </w:r>
    </w:p>
    <w:bookmarkEnd w:id="24"/>
    <w:bookmarkStart w:id="25" w:name="Xba42901fe18da5d66124f6d13ee7fdf089d6622"/>
    <w:p>
      <w:pPr>
        <w:pStyle w:val="Heading2"/>
      </w:pPr>
      <w:r>
        <w:t xml:space="preserve">Recommendations for Sales Strategy Optimization</w:t>
      </w:r>
    </w:p>
    <w:p>
      <w:pPr>
        <w:pStyle w:val="FirstParagraph"/>
      </w:pPr>
      <w:r>
        <w:t xml:space="preserve">Based on this comprehensive analysis, we recommend the following action plan for dietitian service providers targeting Russia Saint Petersburg:</w:t>
      </w:r>
    </w:p>
    <w:p>
      <w:pPr>
        <w:numPr>
          <w:ilvl w:val="0"/>
          <w:numId w:val="1004"/>
        </w:numPr>
        <w:pStyle w:val="Compact"/>
      </w:pPr>
      <w:r>
        <w:rPr>
          <w:bCs/>
          <w:b/>
        </w:rPr>
        <w:t xml:space="preserve">Rebranding Initiative:</w:t>
      </w:r>
      <w:r>
        <w:t xml:space="preserve"> </w:t>
      </w:r>
      <w:r>
        <w:t xml:space="preserve">Shift marketing from "weight loss" to "lifestyle optimization" and "chronic disease prevention" messaging to align with Russian healthcare priorities</w:t>
      </w:r>
    </w:p>
    <w:p>
      <w:pPr>
        <w:numPr>
          <w:ilvl w:val="0"/>
          <w:numId w:val="1004"/>
        </w:numPr>
        <w:pStyle w:val="Compact"/>
      </w:pPr>
      <w:r>
        <w:rPr>
          <w:bCs/>
          <w:b/>
        </w:rPr>
        <w:t xml:space="preserve">Strategic Certification Partnerships:</w:t>
      </w:r>
      <w:r>
        <w:t xml:space="preserve"> </w:t>
      </w:r>
      <w:r>
        <w:t xml:space="preserve">Forge agreements with Saint Petersburg State Medical University for continuing education credits, enhancing credibility among medical professionals</w:t>
      </w:r>
    </w:p>
    <w:p>
      <w:pPr>
        <w:numPr>
          <w:ilvl w:val="0"/>
          <w:numId w:val="1004"/>
        </w:numPr>
        <w:pStyle w:val="Compact"/>
      </w:pPr>
      <w:r>
        <w:rPr>
          <w:bCs/>
          <w:b/>
        </w:rPr>
        <w:t xml:space="preserve">Hybrid Service Model:</w:t>
      </w:r>
      <w:r>
        <w:t xml:space="preserve"> </w:t>
      </w:r>
      <w:r>
        <w:t xml:space="preserve">Implement "in-person consultations at premium locations (e.g., The Hermitage Museum Café) + telehealth follow-ups" to overcome geographical barriers while maintaining luxury positioning</w:t>
      </w:r>
    </w:p>
    <w:p>
      <w:pPr>
        <w:numPr>
          <w:ilvl w:val="0"/>
          <w:numId w:val="1004"/>
        </w:numPr>
        <w:pStyle w:val="Compact"/>
      </w:pPr>
      <w:r>
        <w:rPr>
          <w:bCs/>
          <w:b/>
        </w:rPr>
        <w:t xml:space="preserve">Community Engagement:</w:t>
      </w:r>
      <w:r>
        <w:t xml:space="preserve"> </w:t>
      </w:r>
      <w:r>
        <w:t xml:space="preserve">Sponsor Saint Petersburg's annual "Healthy City Festival" (20,000+ attendees) to build brand visibility among target demographics through free nutrition workshops</w:t>
      </w:r>
    </w:p>
    <w:bookmarkEnd w:id="25"/>
    <w:bookmarkStart w:id="26" w:name="Xb4ee91c0d220f5724979fa0bdc2ce6cd12067cc"/>
    <w:p>
      <w:pPr>
        <w:pStyle w:val="Heading2"/>
      </w:pPr>
      <w:r>
        <w:t xml:space="preserve">Conclusion: Capitalizing on Saint Petersburg's Nutritional Renaissance</w:t>
      </w:r>
    </w:p>
    <w:p>
      <w:pPr>
        <w:pStyle w:val="FirstParagraph"/>
      </w:pPr>
      <w:r>
        <w:t xml:space="preserve">The Russia Saint Petersburg dietitian market has evolved beyond basic nutritional advice into a sophisticated health optimization ecosystem. Our sales data confirms that professional dietitians offering culturally attuned, science-based services are meeting an urgent need in a city where 74% of residents express interest in personalized nutrition but lack access to qualified specialists. As demonstrated by our Q3 performance (10.9M RUB revenue), the premium segment is not only viable but rapidly growing.</w:t>
      </w:r>
    </w:p>
    <w:p>
      <w:pPr>
        <w:pStyle w:val="BodyText"/>
      </w:pPr>
      <w:r>
        <w:t xml:space="preserve">For dietitian service providers seeking sustainable growth in Russia, Saint Petersburg represents a strategic gateway to the entire Northwestern Federal District. By addressing cultural nuances, leveraging healthcare partnerships, and innovating beyond conventional models, we project a 55% market share capture within three years. The key differentiator remains not merely offering dietitian services but embedding nutritional excellence into the very fabric of Saint Petersburg's health-conscious lifestyle—transforming from service provider to essential wellness partner in Russia's second-most important city.</w:t>
      </w:r>
    </w:p>
    <w:p>
      <w:pPr>
        <w:pStyle w:val="BodyText"/>
      </w:pPr>
      <w:r>
        <w:rPr>
          <w:bCs/>
          <w:b/>
        </w:rPr>
        <w:t xml:space="preserve">Report Prepared By:</w:t>
      </w:r>
      <w:r>
        <w:t xml:space="preserve"> </w:t>
      </w:r>
      <w:r>
        <w:t xml:space="preserve">National Nutrition Strategy Division, Eastern Europe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Russia Saint Petersburg</dc:title>
  <dc:creator/>
  <dc:language>en</dc:language>
  <cp:keywords/>
  <dcterms:created xsi:type="dcterms:W3CDTF">2025-12-10T07:53:49Z</dcterms:created>
  <dcterms:modified xsi:type="dcterms:W3CDTF">2025-12-10T07:53:49Z</dcterms:modified>
</cp:coreProperties>
</file>

<file path=docProps/custom.xml><?xml version="1.0" encoding="utf-8"?>
<Properties xmlns="http://schemas.openxmlformats.org/officeDocument/2006/custom-properties" xmlns:vt="http://schemas.openxmlformats.org/officeDocument/2006/docPropsVTypes"/>
</file>