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52610eed4c81e7f8e90078ca24276ebd0018f55"/>
    <w:p>
      <w:pPr>
        <w:pStyle w:val="Heading1"/>
      </w:pPr>
      <w:r>
        <w:t xml:space="preserve">SALES REPORT: DIETITIAN SERVICE PERFORMANCE IN SAUDI ARABIA JEDDAH</w:t>
      </w:r>
    </w:p>
    <w:p>
      <w:pPr>
        <w:pStyle w:val="FirstParagraph"/>
      </w:pPr>
      <w:r>
        <w:t xml:space="preserve">Prepared for Executive Leadership | Q3 2023 | Jeddah, Kingdom of Saudi Arabia</w:t>
      </w:r>
    </w:p>
    <w:bookmarkStart w:id="20" w:name="executive-summary"/>
    <w:p>
      <w:pPr>
        <w:pStyle w:val="Heading2"/>
      </w:pPr>
      <w:r>
        <w:t xml:space="preserve">Executive Summary</w:t>
      </w:r>
    </w:p>
    <w:p>
      <w:pPr>
        <w:pStyle w:val="FirstParagraph"/>
      </w:pPr>
      <w:r>
        <w:t xml:space="preserve">This comprehensive Sales Report details the performance of our premium Dietitian service across Saudi Arabia Jeddah. The Q3 2023 period witnessed remarkable growth in client acquisition and revenue, driven by increasing health consciousness among Jeddah's population and alignment with Saudi Vision 2030 wellness initiatives. Our Dietitian service has established itself as a market leader in the Kingdom's second-largest city, achieving a 37% year-over-year sales increase with strong retention rates (89%) among premium clients. This report underscores how strategic positioning within the Saudi Arabia Jeddah healthcare ecosystem has positioned us for sustained growth.</w:t>
      </w:r>
    </w:p>
    <w:bookmarkEnd w:id="20"/>
    <w:bookmarkStart w:id="21" w:name="market-context-in-saudi-arabia-jeddah"/>
    <w:p>
      <w:pPr>
        <w:pStyle w:val="Heading2"/>
      </w:pPr>
      <w:r>
        <w:t xml:space="preserve">Market Context in Saudi Arabia Jeddah</w:t>
      </w:r>
    </w:p>
    <w:p>
      <w:pPr>
        <w:pStyle w:val="FirstParagraph"/>
      </w:pPr>
      <w:r>
        <w:t xml:space="preserve">Jeddah's demographic landscape presents unique opportunities for Dietitian services. As the commercial capital of Saudi Arabia, the city boasts a population exceeding 4.5 million with rapidly rising obesity rates (36% prevalence among adults according to 2023 Ministry of Health data). This health challenge aligns perfectly with our specialized Dietitian offerings. The recent launch of Saudi Vision 2030's "National Program for Wellness and Prevention" has created unprecedented demand for professional nutrition services, making Saudi Arabia Jeddah a strategic growth hub. Our localized approach – incorporating culturally sensitive meal planning using halal ingredients and Ramadan-specific dietary strategies – has resonated deeply with the Jeddah community.</w:t>
      </w:r>
    </w:p>
    <w:bookmarkEnd w:id="21"/>
    <w:bookmarkStart w:id="24" w:name="sales-performance-breakdown"/>
    <w:p>
      <w:pPr>
        <w:pStyle w:val="Heading2"/>
      </w:pPr>
      <w:r>
        <w:t xml:space="preserve">Sales Performance Breakdown</w:t>
      </w:r>
    </w:p>
    <w:bookmarkStart w:id="22" w:name="revenue-growth-q3-2023-vs-q3-2022"/>
    <w:p>
      <w:pPr>
        <w:pStyle w:val="Heading3"/>
      </w:pPr>
      <w:r>
        <w:t xml:space="preserve">Revenue Growth (Q3 2023 vs Q3 2022)</w:t>
      </w:r>
    </w:p>
    <w:p>
      <w:pPr>
        <w:numPr>
          <w:ilvl w:val="0"/>
          <w:numId w:val="1001"/>
        </w:numPr>
        <w:pStyle w:val="Compact"/>
      </w:pPr>
      <w:r>
        <w:rPr>
          <w:bCs/>
          <w:b/>
        </w:rPr>
        <w:t xml:space="preserve">Subscription Services:</w:t>
      </w:r>
      <w:r>
        <w:t xml:space="preserve"> </w:t>
      </w:r>
      <w:r>
        <w:t xml:space="preserve">+48% ($187,600 vs $126,500) – driven by corporate wellness contracts with Jeddah's expanding business sector</w:t>
      </w:r>
    </w:p>
    <w:p>
      <w:pPr>
        <w:numPr>
          <w:ilvl w:val="0"/>
          <w:numId w:val="1001"/>
        </w:numPr>
        <w:pStyle w:val="Compact"/>
      </w:pPr>
      <w:r>
        <w:rPr>
          <w:bCs/>
          <w:b/>
        </w:rPr>
        <w:t xml:space="preserve">Personalized Diet Plans:</w:t>
      </w:r>
      <w:r>
        <w:t xml:space="preserve"> </w:t>
      </w:r>
      <w:r>
        <w:t xml:space="preserve">+32% ($98,200 vs $74,450) – fueled by increased demand for diabetes and weight management programs</w:t>
      </w:r>
    </w:p>
    <w:p>
      <w:pPr>
        <w:numPr>
          <w:ilvl w:val="0"/>
          <w:numId w:val="1001"/>
        </w:numPr>
        <w:pStyle w:val="Compact"/>
      </w:pPr>
      <w:r>
        <w:rPr>
          <w:bCs/>
          <w:b/>
        </w:rPr>
        <w:t xml:space="preserve">Corporate Wellness Programs:</w:t>
      </w:r>
      <w:r>
        <w:t xml:space="preserve"> </w:t>
      </w:r>
      <w:r>
        <w:t xml:space="preserve">+61% ($153,800 vs $95,500) – key growth area with major Jeddah-based companies like Al Rajhi Bank and SABIC</w:t>
      </w:r>
    </w:p>
    <w:bookmarkEnd w:id="22"/>
    <w:bookmarkStart w:id="23" w:name="geographic-sales-distribution-in-jeddah"/>
    <w:p>
      <w:pPr>
        <w:pStyle w:val="Heading3"/>
      </w:pPr>
      <w:r>
        <w:t xml:space="preserve">Geographic Sales Distribution in Jeddah</w:t>
      </w:r>
    </w:p>
    <w:p>
      <w:pPr>
        <w:pStyle w:val="FirstParagraph"/>
      </w:pPr>
      <w:r>
        <w:t xml:space="preserve">Neighborhood</w:t>
      </w:r>
    </w:p>
    <w:p>
      <w:pPr>
        <w:pStyle w:val="BodyText"/>
      </w:pPr>
      <w:r>
        <w:t xml:space="preserve">Revenue Contribution</w:t>
      </w:r>
    </w:p>
    <w:p>
      <w:pPr>
        <w:pStyle w:val="BodyText"/>
      </w:pPr>
      <w:r>
        <w:t xml:space="preserve">Growth Rate</w:t>
      </w:r>
    </w:p>
    <w:p>
      <w:pPr>
        <w:pStyle w:val="BodyText"/>
      </w:pPr>
      <w:r>
        <w:t xml:space="preserve">Al Hamra (Premium District)</w:t>
      </w:r>
    </w:p>
    <w:p>
      <w:pPr>
        <w:pStyle w:val="BodyText"/>
      </w:pPr>
      <w:r>
        <w:t xml:space="preserve">34%</w:t>
      </w:r>
    </w:p>
    <w:p>
      <w:pPr>
        <w:pStyle w:val="BodyText"/>
      </w:pPr>
      <w:r>
        <w:t xml:space="preserve">+52%</w:t>
      </w:r>
    </w:p>
    <w:p>
      <w:pPr>
        <w:pStyle w:val="BodyText"/>
      </w:pPr>
      <w:r>
        <w:t xml:space="preserve">Madinat Jeddah</w:t>
      </w:r>
    </w:p>
    <w:p>
      <w:pPr>
        <w:pStyle w:val="BodyText"/>
      </w:pPr>
      <w:r>
        <w:t xml:space="preserve">28%</w:t>
      </w:r>
    </w:p>
    <w:p>
      <w:pPr>
        <w:pStyle w:val="BodyText"/>
      </w:pPr>
      <w:r>
        <w:t xml:space="preserve">+39%</w:t>
      </w:r>
    </w:p>
    <w:p>
      <w:pPr>
        <w:pStyle w:val="BodyText"/>
      </w:pPr>
      <w:r>
        <w:t xml:space="preserve">Al Sahafa (Medical Hub)</w:t>
      </w:r>
    </w:p>
    <w:p>
      <w:pPr>
        <w:pStyle w:val="BodyText"/>
      </w:pPr>
      <w:r>
        <w:t xml:space="preserve">21%</w:t>
      </w:r>
    </w:p>
    <w:p>
      <w:pPr>
        <w:pStyle w:val="BodyText"/>
      </w:pPr>
      <w:r>
        <w:t xml:space="preserve">+45%</w:t>
      </w:r>
    </w:p>
    <w:p>
      <w:pPr>
        <w:pStyle w:val="BodyText"/>
      </w:pPr>
      <w:r>
        <w:t xml:space="preserve">Olaya District</w:t>
      </w:r>
    </w:p>
    <w:p>
      <w:pPr>
        <w:pStyle w:val="BodyText"/>
      </w:pPr>
      <w:r>
        <w:t xml:space="preserve">17%</w:t>
      </w:r>
    </w:p>
    <w:p>
      <w:pPr>
        <w:pStyle w:val="BodyText"/>
      </w:pPr>
      <w:r>
        <w:t xml:space="preserve">+28%</w:t>
      </w:r>
    </w:p>
    <w:bookmarkEnd w:id="23"/>
    <w:bookmarkEnd w:id="24"/>
    <w:bookmarkStart w:id="25" w:name="client-acquisition-retention-analysis"/>
    <w:p>
      <w:pPr>
        <w:pStyle w:val="Heading2"/>
      </w:pPr>
      <w:r>
        <w:t xml:space="preserve">Client Acquisition &amp; Retention Analysis</w:t>
      </w:r>
    </w:p>
    <w:p>
      <w:pPr>
        <w:pStyle w:val="FirstParagraph"/>
      </w:pPr>
      <w:r>
        <w:t xml:space="preserve">Our Sales Report highlights exceptional client retention in Saudi Arabia Jeddah, with 89% of Dietitian service subscribers renewing contracts – significantly above the regional average of 76%. This success stems from our culturally tailored approach: all Dietitians hold certifications recognized by the Saudi Commission for Health Specialties (SCFHS) and incorporate local culinary traditions into meal plans. The popularity of our "Ramadan Nutrition Support Package" contributed to a 220% surge in new clients during Eid al-Fitr season, demonstrating how strategic timing aligns with Jeddah's cultural calendar.</w:t>
      </w:r>
    </w:p>
    <w:p>
      <w:pPr>
        <w:pStyle w:val="BodyText"/>
      </w:pPr>
      <w:r>
        <w:t xml:space="preserve">Key acquisition channels driving sales include:</w:t>
      </w:r>
    </w:p>
    <w:p>
      <w:pPr>
        <w:numPr>
          <w:ilvl w:val="0"/>
          <w:numId w:val="1002"/>
        </w:numPr>
        <w:pStyle w:val="Compact"/>
      </w:pPr>
      <w:r>
        <w:rPr>
          <w:bCs/>
          <w:b/>
        </w:rPr>
        <w:t xml:space="preserve">Hospital Partnerships:</w:t>
      </w:r>
      <w:r>
        <w:t xml:space="preserve"> </w:t>
      </w:r>
      <w:r>
        <w:t xml:space="preserve">Collaborations with King Abdullah Medical City and Al Noor Hospital in Jeddah account for 38% of new leads</w:t>
      </w:r>
    </w:p>
    <w:p>
      <w:pPr>
        <w:numPr>
          <w:ilvl w:val="0"/>
          <w:numId w:val="1002"/>
        </w:numPr>
        <w:pStyle w:val="Compact"/>
      </w:pPr>
      <w:r>
        <w:rPr>
          <w:bCs/>
          <w:b/>
        </w:rPr>
        <w:t xml:space="preserve">Corporate Referral Programs:</w:t>
      </w:r>
      <w:r>
        <w:t xml:space="preserve"> </w:t>
      </w:r>
      <w:r>
        <w:t xml:space="preserve">Companies like Saudi Aramco's Jeddah office now mandate Dietitian consultations for employees</w:t>
      </w:r>
    </w:p>
    <w:p>
      <w:pPr>
        <w:numPr>
          <w:ilvl w:val="0"/>
          <w:numId w:val="1002"/>
        </w:numPr>
        <w:pStyle w:val="Compact"/>
      </w:pPr>
      <w:r>
        <w:rPr>
          <w:bCs/>
          <w:b/>
        </w:rPr>
        <w:t xml:space="preserve">Social Media Campaigns:</w:t>
      </w:r>
      <w:r>
        <w:t xml:space="preserve"> </w:t>
      </w:r>
      <w:r>
        <w:t xml:space="preserve">Targeted Instagram/TikTok campaigns featuring local Jeddah influencers achieved 65% engagement rate in the 25-45 age demographic</w:t>
      </w:r>
    </w:p>
    <w:bookmarkEnd w:id="25"/>
    <w:bookmarkStart w:id="28" w:name="market-challenges-strategic-response"/>
    <w:p>
      <w:pPr>
        <w:pStyle w:val="Heading2"/>
      </w:pPr>
      <w:r>
        <w:t xml:space="preserve">Market Challenges &amp; Strategic Response</w:t>
      </w:r>
    </w:p>
    <w:p>
      <w:pPr>
        <w:pStyle w:val="FirstParagraph"/>
      </w:pPr>
      <w:r>
        <w:t xml:space="preserve">While Saudi Arabia Jeddah presents immense opportunity, our Sales Report identifies two critical challenges requiring immediate attention:</w:t>
      </w:r>
    </w:p>
    <w:bookmarkStart w:id="26" w:name="X4686537205060786b5889ac160090660cb18832"/>
    <w:p>
      <w:pPr>
        <w:pStyle w:val="Heading3"/>
      </w:pPr>
      <w:r>
        <w:t xml:space="preserve">Challenge 1: Cultural Perception of Dietitians</w:t>
      </w:r>
    </w:p>
    <w:p>
      <w:pPr>
        <w:pStyle w:val="FirstParagraph"/>
      </w:pPr>
      <w:r>
        <w:t xml:space="preserve">Traditionally viewed as "food counselors" rather than healthcare professionals. Our response involved launching the "Dietitian Professional Certification" campaign, featuring SCFHS-recognized Dietitians in Jeddah media to establish clinical credibility.</w:t>
      </w:r>
    </w:p>
    <w:bookmarkEnd w:id="26"/>
    <w:bookmarkStart w:id="27" w:name="challenge-2-seasonal-demand-fluctuations"/>
    <w:p>
      <w:pPr>
        <w:pStyle w:val="Heading3"/>
      </w:pPr>
      <w:r>
        <w:t xml:space="preserve">Challenge 2: Seasonal Demand Fluctuations</w:t>
      </w:r>
    </w:p>
    <w:p>
      <w:pPr>
        <w:pStyle w:val="FirstParagraph"/>
      </w:pPr>
      <w:r>
        <w:t xml:space="preserve">Reduced demand during summer months (June-August) due to heat-related health patterns. We countered this with our "Summer Health Shield" package offering electrolyte management and hydration-focused Dietitian consultations – increasing summer sales by 41% in Q2 2023.</w:t>
      </w:r>
    </w:p>
    <w:bookmarkEnd w:id="27"/>
    <w:bookmarkEnd w:id="28"/>
    <w:bookmarkStart w:id="29" w:name="X5e6608da0debb8dfb404a5a0b7217a305d94ed2"/>
    <w:p>
      <w:pPr>
        <w:pStyle w:val="Heading2"/>
      </w:pPr>
      <w:r>
        <w:t xml:space="preserve">Future Sales Strategy for Saudi Arabia Jeddah</w:t>
      </w:r>
    </w:p>
    <w:p>
      <w:pPr>
        <w:pStyle w:val="FirstParagraph"/>
      </w:pPr>
      <w:r>
        <w:t xml:space="preserve">Based on this Sales Report, we recommend three priority initiatives for the next fiscal year:</w:t>
      </w:r>
    </w:p>
    <w:p>
      <w:pPr>
        <w:numPr>
          <w:ilvl w:val="0"/>
          <w:numId w:val="1003"/>
        </w:numPr>
        <w:pStyle w:val="Compact"/>
      </w:pPr>
      <w:r>
        <w:rPr>
          <w:bCs/>
          <w:b/>
        </w:rPr>
        <w:t xml:space="preserve">Expansion of Corporate Wellness Contracts:</w:t>
      </w:r>
      <w:r>
        <w:t xml:space="preserve"> </w:t>
      </w:r>
      <w:r>
        <w:t xml:space="preserve">Targeting 30 new enterprise clients across Jeddah's industrial zone by Q2 2024, aligning with Saudi Arabia's National Health Program.</w:t>
      </w:r>
    </w:p>
    <w:p>
      <w:pPr>
        <w:numPr>
          <w:ilvl w:val="0"/>
          <w:numId w:val="1003"/>
        </w:numPr>
        <w:pStyle w:val="Compact"/>
      </w:pPr>
      <w:r>
        <w:rPr>
          <w:bCs/>
          <w:b/>
        </w:rPr>
        <w:t xml:space="preserve">Digital Transformation:</w:t>
      </w:r>
      <w:r>
        <w:t xml:space="preserve"> </w:t>
      </w:r>
      <w:r>
        <w:t xml:space="preserve">Launching a dedicated "Jeddah Dietitian" mobile app for seamless scheduling and culturally tailored recipe sharing (launch Q1 2024).</w:t>
      </w:r>
    </w:p>
    <w:p>
      <w:pPr>
        <w:numPr>
          <w:ilvl w:val="0"/>
          <w:numId w:val="1003"/>
        </w:numPr>
        <w:pStyle w:val="Compact"/>
      </w:pPr>
      <w:r>
        <w:rPr>
          <w:bCs/>
          <w:b/>
        </w:rPr>
        <w:t xml:space="preserve">Specialized Service Bundles:</w:t>
      </w:r>
      <w:r>
        <w:t xml:space="preserve"> </w:t>
      </w:r>
      <w:r>
        <w:t xml:space="preserve">Developing "Saudi Diabetes Management Package" in partnership with Jeddah's Ministry of Health, targeting the city's 18% diabetes prevalence rate.</w:t>
      </w:r>
    </w:p>
    <w:bookmarkEnd w:id="29"/>
    <w:bookmarkStart w:id="30" w:name="conclusion"/>
    <w:p>
      <w:pPr>
        <w:pStyle w:val="Heading2"/>
      </w:pPr>
      <w:r>
        <w:t xml:space="preserve">Conclusion</w:t>
      </w:r>
    </w:p>
    <w:p>
      <w:pPr>
        <w:pStyle w:val="FirstParagraph"/>
      </w:pPr>
      <w:r>
        <w:t xml:space="preserve">This Sales Report confirms that our Dietitian service has become an essential health solution within Saudi Arabia Jeddah's evolving healthcare landscape. The strategic alignment with Vision 2030 wellness goals, combined with culturally intelligent service delivery, has positioned us for dominant market share in the Jeddah premium nutrition segment. With projected population growth of 4.1% annually in the city and increasing government investment in preventative care, our Dietitian service presents a highly scalable business opportunity.</w:t>
      </w:r>
    </w:p>
    <w:p>
      <w:pPr>
        <w:pStyle w:val="BodyText"/>
      </w:pPr>
      <w:r>
        <w:t xml:space="preserve">The Q3 2023 performance demonstrates that when healthcare services understand Saudi Arabia's unique cultural context – particularly Jeddah's cosmopolitan yet traditional society – they achieve exceptional market penetration. Our continued focus on delivering clinically validated, culturally resonant Dietitian services will be the cornerstone of sustained growth in this dynamic market. As we move into 2024, all strategic initiatives will prioritize deepening our presence across Saudi Arabia Jeddah while maintaining our leadership position in professional dietetics.</w:t>
      </w:r>
    </w:p>
    <w:p>
      <w:pPr>
        <w:pStyle w:val="BodyText"/>
      </w:pPr>
      <w:r>
        <w:t xml:space="preserve">Prepared by: Global Wellness Solutions | Sales Intelligence Division</w:t>
      </w:r>
      <w:r>
        <w:br/>
      </w:r>
      <w: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 Performance in Saudi Arabia Jeddah</dc:title>
  <dc:creator/>
  <dc:language>en</dc:language>
  <cp:keywords/>
  <dcterms:created xsi:type="dcterms:W3CDTF">2026-07-24T03:40:05Z</dcterms:created>
  <dcterms:modified xsi:type="dcterms:W3CDTF">2026-07-24T03:40:05Z</dcterms:modified>
</cp:coreProperties>
</file>

<file path=docProps/custom.xml><?xml version="1.0" encoding="utf-8"?>
<Properties xmlns="http://schemas.openxmlformats.org/officeDocument/2006/custom-properties" xmlns:vt="http://schemas.openxmlformats.org/officeDocument/2006/docPropsVTypes"/>
</file>