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1f2e0335e6551cfef126c99ef35ad3ab092ca1c"/>
    <w:p>
      <w:pPr>
        <w:pStyle w:val="Heading1"/>
      </w:pPr>
      <w:r>
        <w:t xml:space="preserve">Sales Report: Professional Dietitian Services Market Analysis and Performance in Riyadh, Saudi Arabia</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professional Dietitian services within the rapidly evolving healthcare landscape of Riyadh, Saudi Arabia. The report confirms significant growth potential in this sector driven by national health initiatives like Vision 2030 and rising obesity rates. Our company has achieved a 35% year-on-year increase in Dietitian service subscriptions across Riyadh, with particular strength in corporate wellness partnerships and specialized diabetes management programs.</w:t>
      </w:r>
    </w:p>
    <w:bookmarkEnd w:id="20"/>
    <w:bookmarkStart w:id="21" w:name="X35fa69ac5945ec7c4fd332104826c910edc2c59"/>
    <w:p>
      <w:pPr>
        <w:pStyle w:val="Heading2"/>
      </w:pPr>
      <w:r>
        <w:t xml:space="preserve">Market Context: Saudi Arabia Riyadh's Health Transformation</w:t>
      </w:r>
    </w:p>
    <w:p>
      <w:pPr>
        <w:pStyle w:val="FirstParagraph"/>
      </w:pPr>
      <w:r>
        <w:t xml:space="preserve">Riyadh, as the political and economic hub of Saudi Arabia, represents a critical market for healthcare innovation. The Kingdom's Vision 2030 framework places immense emphasis on improving public health outcomes through preventive care—a strategic imperative directly benefiting Dietitian professionals. With obesity affecting over 35% of Saudi adults (World Health Organization, 2023) and diabetes prevalence at 17.4% (Saudi Ministry of Health), the demand for certified Dietitians has surged beyond traditional hospital settings into corporate, fitness, and residential sectors.</w:t>
      </w:r>
    </w:p>
    <w:p>
      <w:pPr>
        <w:pStyle w:val="BodyText"/>
      </w:pPr>
      <w:r>
        <w:t xml:space="preserve">Our Sales Report identifies Riyadh as the primary growth engine for dietetic services in KSA, accounting for 62% of our total national revenue. This dominance stems from Riyadh's concentration of multinational corporations (40% of Fortune 500 companies operating in Saudi Arabia have headquarters here), high disposable income levels, and strong government health campaigns like "Sahha" that mandate nutrition consultations for chronic disease management.</w:t>
      </w:r>
    </w:p>
    <w:bookmarkEnd w:id="21"/>
    <w:bookmarkStart w:id="22" w:name="sales-performance-highlights-q3-2023"/>
    <w:p>
      <w:pPr>
        <w:pStyle w:val="Heading2"/>
      </w:pPr>
      <w:r>
        <w:t xml:space="preserve">Sales Performance Highlights: Q3 2023</w:t>
      </w:r>
    </w:p>
    <w:p>
      <w:pPr>
        <w:pStyle w:val="FirstParagraph"/>
      </w:pPr>
      <w:r>
        <w:t xml:space="preserve">Service Category</w:t>
      </w:r>
    </w:p>
    <w:p>
      <w:pPr>
        <w:pStyle w:val="BodyText"/>
      </w:pPr>
      <w:r>
        <w:t xml:space="preserve">Q3 2023 Sales (SAR)</w:t>
      </w:r>
    </w:p>
    <w:p>
      <w:pPr>
        <w:pStyle w:val="BodyText"/>
      </w:pPr>
      <w:r>
        <w:t xml:space="preserve">YoY Growth</w:t>
      </w:r>
    </w:p>
    <w:p>
      <w:pPr>
        <w:pStyle w:val="BodyText"/>
      </w:pPr>
      <w:r>
        <w:t xml:space="preserve">Key Market Segment</w:t>
      </w:r>
    </w:p>
    <w:p>
      <w:pPr>
        <w:pStyle w:val="BodyText"/>
      </w:pPr>
      <w:r>
        <w:t xml:space="preserve">Corporate Wellness Programs</w:t>
      </w:r>
    </w:p>
    <w:p>
      <w:pPr>
        <w:pStyle w:val="BodyText"/>
      </w:pPr>
      <w:r>
        <w:t xml:space="preserve">1,245,000</w:t>
      </w:r>
    </w:p>
    <w:p>
      <w:pPr>
        <w:pStyle w:val="BodyText"/>
      </w:pPr>
      <w:r>
        <w:t xml:space="preserve">+42%</w:t>
      </w:r>
    </w:p>
    <w:p>
      <w:pPr>
        <w:pStyle w:val="BodyText"/>
      </w:pPr>
      <w:r>
        <w:t xml:space="preserve">MNCs (e.g., Aramco, SABIC)</w:t>
      </w:r>
    </w:p>
    <w:p>
      <w:pPr>
        <w:pStyle w:val="BodyText"/>
      </w:pPr>
      <w:r>
        <w:t xml:space="preserve">Diabetes Management Plans</w:t>
      </w:r>
    </w:p>
    <w:p>
      <w:pPr>
        <w:pStyle w:val="BodyText"/>
      </w:pPr>
      <w:r>
        <w:t xml:space="preserve">&lt;</w:t>
      </w:r>
    </w:p>
    <w:p>
      <w:pPr>
        <w:pStyle w:val="BodyText"/>
      </w:pPr>
      <w:r>
        <w:t xml:space="preserve">897,500</w:t>
      </w:r>
    </w:p>
    <w:p>
      <w:pPr>
        <w:pStyle w:val="BodyText"/>
      </w:pPr>
      <w:r>
        <w:t xml:space="preserve">&lt;</w:t>
      </w:r>
    </w:p>
    <w:p>
      <w:pPr>
        <w:pStyle w:val="BodyText"/>
      </w:pPr>
      <w:r>
        <w:t xml:space="preserve">+38%</w:t>
      </w:r>
    </w:p>
    <w:p>
      <w:pPr>
        <w:pStyle w:val="BodyText"/>
      </w:pPr>
      <w:r>
        <w:t xml:space="preserve">Hospital Partnerships (King Khalid Hospital Network)</w:t>
      </w:r>
    </w:p>
    <w:p>
      <w:pPr>
        <w:pStyle w:val="BodyText"/>
      </w:pPr>
      <w:r>
        <w:t xml:space="preserve">Personalized Weight Management</w:t>
      </w:r>
    </w:p>
    <w:p>
      <w:pPr>
        <w:pStyle w:val="BodyText"/>
      </w:pPr>
      <w:r>
        <w:t xml:space="preserve">672,300</w:t>
      </w:r>
    </w:p>
    <w:p>
      <w:pPr>
        <w:pStyle w:val="BodyText"/>
      </w:pPr>
      <w:r>
        <w:t xml:space="preserve">+29%</w:t>
      </w:r>
    </w:p>
    <w:p>
      <w:pPr>
        <w:pStyle w:val="BodyText"/>
      </w:pPr>
      <w:r>
        <w:t xml:space="preserve">Sports Nutrition Consultations</w:t>
      </w:r>
    </w:p>
    <w:p>
      <w:pPr>
        <w:pStyle w:val="BodyText"/>
      </w:pPr>
      <w:r>
        <w:t xml:space="preserve">418,600</w:t>
      </w:r>
    </w:p>
    <w:p>
      <w:pPr>
        <w:pStyle w:val="BodyText"/>
      </w:pPr>
      <w:r>
        <w:t xml:space="preserve">+51%</w:t>
      </w:r>
    </w:p>
    <w:p>
      <w:pPr>
        <w:pStyle w:val="BodyText"/>
      </w:pPr>
      <w:r>
        <w:t xml:space="preserve">The data reveals a strategic shift toward high-value services: Corporate wellness now accounts for 43% of total Dietitian service revenue in Riyadh, up from 28% in 2021. This trend aligns with Saudi Arabia's mandatory "Corporate Health Investment" policy requiring companies with &gt;50 employees to implement wellness programs. Our Sales Report attributes this success to our partnerships with Riyadh-based HR consultancies like Al-Faisal Group and the innovative "Wellness Passport" subscription model that integrates Dietitian sessions with gym access and telehealth.</w:t>
      </w:r>
    </w:p>
    <w:bookmarkEnd w:id="22"/>
    <w:bookmarkStart w:id="23" w:name="Xb874b563eabb178b648f19744edfb8f1984cd63"/>
    <w:p>
      <w:pPr>
        <w:pStyle w:val="Heading2"/>
      </w:pPr>
      <w:r>
        <w:t xml:space="preserve">Cultural Adaptation: The Saudi Arabia Riyadh Advantage</w:t>
      </w:r>
    </w:p>
    <w:p>
      <w:pPr>
        <w:pStyle w:val="FirstParagraph"/>
      </w:pPr>
      <w:r>
        <w:t xml:space="preserve">Unlike generic international nutrition models, our successful Dietitian service delivery in Riyadh hinges on culturally intelligent customization. Our Sales Report highlights how 89% of new clients cited cultural appropriateness as their primary decision factor. For instance:</w:t>
      </w:r>
    </w:p>
    <w:p>
      <w:pPr>
        <w:numPr>
          <w:ilvl w:val="0"/>
          <w:numId w:val="1001"/>
        </w:numPr>
        <w:pStyle w:val="Compact"/>
      </w:pPr>
      <w:r>
        <w:rPr>
          <w:bCs/>
          <w:b/>
        </w:rPr>
        <w:t xml:space="preserve">Halal Nutrition Planning:</w:t>
      </w:r>
      <w:r>
        <w:t xml:space="preserve"> </w:t>
      </w:r>
      <w:r>
        <w:t xml:space="preserve">All meal plans avoid pork derivatives and align with Ramadan fasting patterns, a critical consideration for 100% of our Riyadh clients.</w:t>
      </w:r>
    </w:p>
    <w:p>
      <w:pPr>
        <w:numPr>
          <w:ilvl w:val="0"/>
          <w:numId w:val="1001"/>
        </w:numPr>
        <w:pStyle w:val="Compact"/>
      </w:pPr>
      <w:r>
        <w:rPr>
          <w:bCs/>
          <w:b/>
        </w:rPr>
        <w:t xml:space="preserve">Gender-Specific Services:</w:t>
      </w:r>
      <w:r>
        <w:t xml:space="preserve"> </w:t>
      </w:r>
      <w:r>
        <w:t xml:space="preserve">72% of corporate contracts specify female Dietitians for women's health programs—a requirement under Saudi cultural norms that we've proactively addressed through our all-female Riyadh clinical team.</w:t>
      </w:r>
    </w:p>
    <w:p>
      <w:pPr>
        <w:numPr>
          <w:ilvl w:val="0"/>
          <w:numId w:val="1001"/>
        </w:numPr>
        <w:pStyle w:val="Compact"/>
      </w:pPr>
      <w:r>
        <w:rPr>
          <w:bCs/>
          <w:b/>
        </w:rPr>
        <w:t xml:space="preserve">Traditional Food Integration:</w:t>
      </w:r>
      <w:r>
        <w:t xml:space="preserve"> </w:t>
      </w:r>
      <w:r>
        <w:t xml:space="preserve">Menu recommendations incorporate local staples like dates, camel milk, and za'atar while modernizing presentation to meet dietary needs.</w:t>
      </w:r>
    </w:p>
    <w:bookmarkEnd w:id="23"/>
    <w:bookmarkStart w:id="24" w:name="key-challenges-strategic-responses"/>
    <w:p>
      <w:pPr>
        <w:pStyle w:val="Heading2"/>
      </w:pPr>
      <w:r>
        <w:t xml:space="preserve">Key Challenges &amp; Strategic Responses</w:t>
      </w:r>
    </w:p>
    <w:p>
      <w:pPr>
        <w:pStyle w:val="FirstParagraph"/>
      </w:pPr>
      <w:r>
        <w:t xml:space="preserve">Our Sales Report identifies two persistent challenges in the Riyadh market:</w:t>
      </w:r>
    </w:p>
    <w:p>
      <w:pPr>
        <w:numPr>
          <w:ilvl w:val="0"/>
          <w:numId w:val="1002"/>
        </w:numPr>
        <w:pStyle w:val="Compact"/>
      </w:pPr>
      <w:r>
        <w:rPr>
          <w:bCs/>
          <w:b/>
        </w:rPr>
        <w:t xml:space="preserve">Healthcare Awareness Gaps:</w:t>
      </w:r>
      <w:r>
        <w:t xml:space="preserve"> </w:t>
      </w:r>
      <w:r>
        <w:t xml:space="preserve">Despite high obesity rates, 68% of Saudis initially view Dietitians as "only for weight loss." Our response: Launched the "Nutrition Literacy Campaign" with Riyadh Health Authority, featuring free community workshops at malls (e.g., Riyadh Park) and influencer partnerships with Saudi health advocates like @DrNouraAlMuhanna.</w:t>
      </w:r>
    </w:p>
    <w:p>
      <w:pPr>
        <w:numPr>
          <w:ilvl w:val="0"/>
          <w:numId w:val="1002"/>
        </w:numPr>
        <w:pStyle w:val="Compact"/>
      </w:pPr>
      <w:r>
        <w:rPr>
          <w:bCs/>
          <w:b/>
        </w:rPr>
        <w:t xml:space="preserve">Regulatory Complexity:</w:t>
      </w:r>
      <w:r>
        <w:t xml:space="preserve"> </w:t>
      </w:r>
      <w:r>
        <w:t xml:space="preserve">Certification requirements for Dietitians in Saudi Arabia involve multiple ministries. Our solution: Partnered with the National Health Regulatory Authority (NHRA) to develop Riyadh's first accredited online certification pathway, accelerating client acquisition by 40%.</w:t>
      </w:r>
    </w:p>
    <w:bookmarkEnd w:id="24"/>
    <w:bookmarkStart w:id="25" w:name="future-growth-opportunities"/>
    <w:p>
      <w:pPr>
        <w:pStyle w:val="Heading2"/>
      </w:pPr>
      <w:r>
        <w:t xml:space="preserve">Future Growth Opportunities</w:t>
      </w:r>
    </w:p>
    <w:p>
      <w:pPr>
        <w:pStyle w:val="FirstParagraph"/>
      </w:pPr>
      <w:r>
        <w:t xml:space="preserve">The Sales Report identifies three high-potential avenues for expanding Dietitian services in Saudi Arabia Riyadh:</w:t>
      </w:r>
    </w:p>
    <w:p>
      <w:pPr>
        <w:numPr>
          <w:ilvl w:val="0"/>
          <w:numId w:val="1003"/>
        </w:numPr>
        <w:pStyle w:val="Compact"/>
      </w:pPr>
      <w:r>
        <w:rPr>
          <w:bCs/>
          <w:b/>
        </w:rPr>
        <w:t xml:space="preserve">Government Health Integration:</w:t>
      </w:r>
      <w:r>
        <w:t xml:space="preserve"> </w:t>
      </w:r>
      <w:r>
        <w:t xml:space="preserve">Leveraging Vision 2030's "National Prevention Strategy," we're piloting a subsidized dietitian service at Riyadh government clinics targeting Type 2 diabetes patients. Projected to generate SAR 3.7M in annual revenue by Q4 2024.</w:t>
      </w:r>
    </w:p>
    <w:p>
      <w:pPr>
        <w:numPr>
          <w:ilvl w:val="0"/>
          <w:numId w:val="1003"/>
        </w:numPr>
        <w:pStyle w:val="Compact"/>
      </w:pPr>
      <w:r>
        <w:rPr>
          <w:bCs/>
          <w:b/>
        </w:rPr>
        <w:t xml:space="preserve">Telehealth Expansion:</w:t>
      </w:r>
      <w:r>
        <w:t xml:space="preserve"> </w:t>
      </w:r>
      <w:r>
        <w:t xml:space="preserve">With Saudi Arabia's telemedicine market growing at 28% CAGR (Statista, 2023), our Riyadh-based virtual Dietitian platform achieved 56% client retention in Q3. We're optimizing for the new Saudi Telehealth Regulations through AI-driven dietary tracking apps compatible with local health records systems.</w:t>
      </w:r>
    </w:p>
    <w:p>
      <w:pPr>
        <w:numPr>
          <w:ilvl w:val="0"/>
          <w:numId w:val="1003"/>
        </w:numPr>
        <w:pStyle w:val="Compact"/>
      </w:pPr>
      <w:r>
        <w:rPr>
          <w:bCs/>
          <w:b/>
        </w:rPr>
        <w:t xml:space="preserve">Family Wellness Packages:</w:t>
      </w:r>
      <w:r>
        <w:t xml:space="preserve"> </w:t>
      </w:r>
      <w:r>
        <w:t xml:space="preserve">Launching "Riyadh Family Nutrition" bundles combining pediatric, adult, and geriatric Dietitian sessions—a response to rising multi-generational household wellness demand. Early pilot in Diplomatic Quarter generated 120 bookings within 3 weeks.</w:t>
      </w:r>
    </w:p>
    <w:bookmarkEnd w:id="25"/>
    <w:bookmarkStart w:id="26" w:name="Xa773bf7114a006a3ce9a9ea6877db33a0b7dc23"/>
    <w:p>
      <w:pPr>
        <w:pStyle w:val="Heading2"/>
      </w:pPr>
      <w:r>
        <w:t xml:space="preserve">Conclusion: Strategic Positioning for Riyadh's Health Future</w:t>
      </w:r>
    </w:p>
    <w:p>
      <w:pPr>
        <w:pStyle w:val="FirstParagraph"/>
      </w:pPr>
      <w:r>
        <w:t xml:space="preserve">This Sales Report confirms that Dietitian services have evolved from a niche specialty to a cornerstone of Saudi Arabia's healthcare transformation, with Riyadh serving as the definitive epicenter. The 35% YoY growth demonstrates market readiness for culturally attuned nutritional expertise—far exceeding industry averages in GCC regions. As Saudi Arabia accelerates its health-sector privatization under Vision 2030, our strategic focus on Riyadh's unique cultural and regulatory landscape positions us to capture 25% of the city's dietitian service market by 2025.</w:t>
      </w:r>
    </w:p>
    <w:p>
      <w:pPr>
        <w:pStyle w:val="BodyText"/>
      </w:pPr>
      <w:r>
        <w:t xml:space="preserve">Recommendation: Allocate 60% of Q4 marketing budget to government partnership development in Riyadh, specifically targeting the new Ministry of Health "Preventive Care Centers" initiative. Simultaneously, scale our gender-specific Dietitian recruitment program to meet the city's projected demand for 1,200 additional certified professionals by 2025. The time to capitalize on Saudi Arabia's wellness revolution is now—Riyadh awaits.</w:t>
      </w:r>
    </w:p>
    <w:p>
      <w:pPr>
        <w:pStyle w:val="BodyText"/>
      </w:pPr>
      <w:r>
        <w:rPr>
          <w:iCs/>
          <w:i/>
        </w:rPr>
        <w:t xml:space="preserve">Sales Report Authored By: Riyadh Health Solutions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Riyadh, Saudi Arabia</dc:title>
  <dc:creator/>
  <dc:language>en</dc:language>
  <cp:keywords/>
  <dcterms:created xsi:type="dcterms:W3CDTF">2026-09-27T15:09:02Z</dcterms:created>
  <dcterms:modified xsi:type="dcterms:W3CDTF">2026-09-27T15:09:02Z</dcterms:modified>
</cp:coreProperties>
</file>

<file path=docProps/custom.xml><?xml version="1.0" encoding="utf-8"?>
<Properties xmlns="http://schemas.openxmlformats.org/officeDocument/2006/custom-properties" xmlns:vt="http://schemas.openxmlformats.org/officeDocument/2006/docPropsVTypes"/>
</file>