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33a46d32d402a280fe22b1e56a16fa3c7cb2b2a"/>
    <w:p>
      <w:pPr>
        <w:pStyle w:val="Heading1"/>
      </w:pPr>
      <w:r>
        <w:t xml:space="preserve">Comprehensive Sales Report: Dietitian Service Performance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Nutrition Wellness Group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Dietitian service portfolio across Singapore Singapore, demonstrating exceptional growth and market penetration in a highly competitive health ecosystem. Our strategic focus on personalized nutrition planning has yielded a 37% year-over-year revenue increase, solidifying our position as the preferred dietitian provider in Singapore's wellness landscape. With increasing health consciousness among Singaporeans and government-backed initiatives like "HealthySG," demand for professional dietitian services continues to surge, making this report critical for future resource allocation and market expansion within Singapore Singapore.</w:t>
      </w:r>
    </w:p>
    <w:bookmarkEnd w:id="20"/>
    <w:bookmarkStart w:id="21" w:name="ii.-sales-performance-overview"/>
    <w:p>
      <w:pPr>
        <w:pStyle w:val="Heading2"/>
      </w:pPr>
      <w:r>
        <w:t xml:space="preserve">II. Sales Performance Overview</w:t>
      </w:r>
    </w:p>
    <w:p>
      <w:pPr>
        <w:pStyle w:val="FirstParagraph"/>
      </w:pPr>
      <w:r>
        <w:t xml:space="preserve">Q3 2023 marked a significant milestone for our Dietitian service division in Singapore Singapore. Total revenue reached SGD 1,485,000, up from SGD 1,084,000 in Q2 and SGD 1,084,576 in Q3 2022. Key drivers include:</w:t>
      </w:r>
    </w:p>
    <w:p>
      <w:pPr>
        <w:numPr>
          <w:ilvl w:val="0"/>
          <w:numId w:val="1001"/>
        </w:numPr>
        <w:pStyle w:val="Compact"/>
      </w:pPr>
      <w:r>
        <w:rPr>
          <w:bCs/>
          <w:b/>
        </w:rPr>
        <w:t xml:space="preserve">Subscription Packages:</w:t>
      </w:r>
      <w:r>
        <w:t xml:space="preserve"> </w:t>
      </w:r>
      <w:r>
        <w:t xml:space="preserve">+52% YoY growth (SGD 917,400 revenue) driven by corporate wellness partnerships with Singapore-based tech firms and multinational corporations operating in Singapore Singapore.</w:t>
      </w:r>
    </w:p>
    <w:p>
      <w:pPr>
        <w:numPr>
          <w:ilvl w:val="0"/>
          <w:numId w:val="1001"/>
        </w:numPr>
        <w:pStyle w:val="Compact"/>
      </w:pPr>
      <w:r>
        <w:rPr>
          <w:bCs/>
          <w:b/>
        </w:rPr>
        <w:t xml:space="preserve">One-on-One Consultations:</w:t>
      </w:r>
      <w:r>
        <w:t xml:space="preserve"> </w:t>
      </w:r>
      <w:r>
        <w:t xml:space="preserve">+38% YoY increase (SGD 426,500 revenue) fueled by rising obesity rates (18.9% among adults in Singapore) and diabetes prevalence (10.7%).</w:t>
      </w:r>
    </w:p>
    <w:p>
      <w:pPr>
        <w:numPr>
          <w:ilvl w:val="0"/>
          <w:numId w:val="1001"/>
        </w:numPr>
        <w:pStyle w:val="Compact"/>
      </w:pPr>
      <w:r>
        <w:rPr>
          <w:bCs/>
          <w:b/>
        </w:rPr>
        <w:t xml:space="preserve">Digital Nutrition Platform:</w:t>
      </w:r>
      <w:r>
        <w:t xml:space="preserve"> </w:t>
      </w:r>
      <w:r>
        <w:t xml:space="preserve">+75% YoY growth (SGD 141,100 revenue) as Singaporeans increasingly adopt health tech solutions amid the Smart Nation initiative.</w:t>
      </w:r>
    </w:p>
    <w:p>
      <w:pPr>
        <w:pStyle w:val="FirstParagraph"/>
      </w:pPr>
      <w:r>
        <w:t xml:space="preserve">Our market share in the professional dietitian service segment of Singapore Singapore has grown from 22% to 34% within one year. The average customer lifetime value (LTV) now stands at SGD 1,850 compared to SGD 1,420 last year, reflecting enhanced client retention through our tiered dietitian engagement model.</w:t>
      </w:r>
    </w:p>
    <w:bookmarkEnd w:id="21"/>
    <w:bookmarkStart w:id="22" w:name="X33ea1aef30931a50b44cd41aee78ef5c5343a92"/>
    <w:p>
      <w:pPr>
        <w:pStyle w:val="Heading2"/>
      </w:pPr>
      <w:r>
        <w:t xml:space="preserve">III. Market Analysis in Singapore Singapore</w:t>
      </w:r>
    </w:p>
    <w:p>
      <w:pPr>
        <w:pStyle w:val="FirstParagraph"/>
      </w:pPr>
      <w:r>
        <w:t xml:space="preserve">Singapore Singapore presents a unique market characterized by:</w:t>
      </w:r>
    </w:p>
    <w:p>
      <w:pPr>
        <w:numPr>
          <w:ilvl w:val="0"/>
          <w:numId w:val="1002"/>
        </w:numPr>
        <w:pStyle w:val="Compact"/>
      </w:pPr>
      <w:r>
        <w:rPr>
          <w:bCs/>
          <w:b/>
        </w:rPr>
        <w:t xml:space="preserve">Cultural Nuances:</w:t>
      </w:r>
      <w:r>
        <w:t xml:space="preserve"> </w:t>
      </w:r>
      <w:r>
        <w:t xml:space="preserve">High demand for culturally tailored diet plans accommodating Chinese, Malay, and Indian dietary preferences within the local context of Singapore Singapore.</w:t>
      </w:r>
    </w:p>
    <w:p>
      <w:pPr>
        <w:numPr>
          <w:ilvl w:val="0"/>
          <w:numId w:val="1002"/>
        </w:numPr>
        <w:pStyle w:val="Compact"/>
      </w:pPr>
      <w:r>
        <w:rPr>
          <w:bCs/>
          <w:b/>
        </w:rPr>
        <w:t xml:space="preserve">Government Alignment:</w:t>
      </w:r>
      <w:r>
        <w:t xml:space="preserve"> </w:t>
      </w:r>
      <w:r>
        <w:t xml:space="preserve">Synergy with Health Promotion Board (HPB) initiatives like "Healthy 365" campaign, driving referrals to certified dietitians across Singapore Singapore.</w:t>
      </w:r>
    </w:p>
    <w:p>
      <w:pPr>
        <w:numPr>
          <w:ilvl w:val="0"/>
          <w:numId w:val="1002"/>
        </w:numPr>
        <w:pStyle w:val="Compact"/>
      </w:pPr>
      <w:r>
        <w:rPr>
          <w:bCs/>
          <w:b/>
        </w:rPr>
        <w:t xml:space="preserve">Economic Factors:</w:t>
      </w:r>
      <w:r>
        <w:t xml:space="preserve"> </w:t>
      </w:r>
      <w:r>
        <w:t xml:space="preserve">Rising middle-class spending on preventative healthcare (up 24% annually in Singapore), with dietitian services perceived as essential wellness investments.</w:t>
      </w:r>
    </w:p>
    <w:p>
      <w:pPr>
        <w:numPr>
          <w:ilvl w:val="0"/>
          <w:numId w:val="1002"/>
        </w:numPr>
        <w:pStyle w:val="Compact"/>
      </w:pPr>
      <w:r>
        <w:rPr>
          <w:bCs/>
          <w:b/>
        </w:rPr>
        <w:t xml:space="preserve">Competitive Landscape:</w:t>
      </w:r>
      <w:r>
        <w:t xml:space="preserve"> </w:t>
      </w:r>
      <w:r>
        <w:t xml:space="preserve">While competitors exist, our accreditation by the Singapore Dietitians Association (SDA) and presence across all major neighborhoods in Singapore Singapore differentiates us.</w:t>
      </w:r>
    </w:p>
    <w:p>
      <w:pPr>
        <w:pStyle w:val="FirstParagraph"/>
      </w:pPr>
      <w:r>
        <w:t xml:space="preserve">Notable trends include the 41% surge in inquiries for diabetes management programs and a 28% increase in requests for sports nutrition consultations from fitness centers across Singapore Singapore. The pandemic has permanently shifted consumer behavior toward proactive health management, positioning dietitian services as critical healthcare components rather than luxury add-ons.</w:t>
      </w:r>
    </w:p>
    <w:bookmarkEnd w:id="22"/>
    <w:bookmarkStart w:id="23" w:name="iv.-key-achievements"/>
    <w:p>
      <w:pPr>
        <w:pStyle w:val="Heading2"/>
      </w:pPr>
      <w:r>
        <w:t xml:space="preserve">IV. Key Achievements</w:t>
      </w:r>
    </w:p>
    <w:p>
      <w:pPr>
        <w:pStyle w:val="FirstParagraph"/>
      </w:pPr>
      <w:r>
        <w:t xml:space="preserve">This quarter's success stems from strategic initiatives specifically designed for the Singapore Singapore market:</w:t>
      </w:r>
    </w:p>
    <w:p>
      <w:pPr>
        <w:numPr>
          <w:ilvl w:val="0"/>
          <w:numId w:val="1003"/>
        </w:numPr>
        <w:pStyle w:val="Compact"/>
      </w:pPr>
      <w:r>
        <w:rPr>
          <w:bCs/>
          <w:b/>
        </w:rPr>
        <w:t xml:space="preserve">Clinic Expansion in HDB Towns:</w:t>
      </w:r>
      <w:r>
        <w:t xml:space="preserve"> </w:t>
      </w:r>
      <w:r>
        <w:t xml:space="preserve">Opened 3 new satellite clinics in Tampines, Jurong East, and Hougang – locations with high unmet demand identified through our Singapore Singapore demographic analysis. These generated SGD 248,000 in Q3 revenue.</w:t>
      </w:r>
    </w:p>
    <w:p>
      <w:pPr>
        <w:numPr>
          <w:ilvl w:val="0"/>
          <w:numId w:val="1003"/>
        </w:numPr>
        <w:pStyle w:val="Compact"/>
      </w:pPr>
      <w:r>
        <w:rPr>
          <w:bCs/>
          <w:b/>
        </w:rPr>
        <w:t xml:space="preserve">Corporate Wellness Contracts:</w:t>
      </w:r>
      <w:r>
        <w:t xml:space="preserve"> </w:t>
      </w:r>
      <w:r>
        <w:t xml:space="preserve">Secured 7 new contracts with Fortune 500 companies operating in Singapore Singapore, including DBS Bank and Singtel, adding SGD 315,600 to quarterly revenue.</w:t>
      </w:r>
    </w:p>
    <w:p>
      <w:pPr>
        <w:numPr>
          <w:ilvl w:val="0"/>
          <w:numId w:val="1003"/>
        </w:numPr>
        <w:pStyle w:val="Compact"/>
      </w:pPr>
      <w:r>
        <w:rPr>
          <w:bCs/>
          <w:b/>
        </w:rPr>
        <w:t xml:space="preserve">National Health Campaign Collaboration:</w:t>
      </w:r>
      <w:r>
        <w:t xml:space="preserve"> </w:t>
      </w:r>
      <w:r>
        <w:t xml:space="preserve">Partnered with HPB for "Eat Well SG" campaign, generating 27% of new client acquisitions through government-endorsed channels in Singapore Singapore.</w:t>
      </w:r>
    </w:p>
    <w:p>
      <w:pPr>
        <w:numPr>
          <w:ilvl w:val="0"/>
          <w:numId w:val="1003"/>
        </w:numPr>
        <w:pStyle w:val="Compact"/>
      </w:pPr>
      <w:r>
        <w:rPr>
          <w:bCs/>
          <w:b/>
        </w:rPr>
        <w:t xml:space="preserve">Digital Integration:</w:t>
      </w:r>
      <w:r>
        <w:t xml:space="preserve"> </w:t>
      </w:r>
      <w:r>
        <w:t xml:space="preserve">Launched AI-powered nutrition tracker compatible with SingPass and HealthHub – adopted by 63% of new clients within Singapore Singapore.</w:t>
      </w:r>
    </w:p>
    <w:bookmarkEnd w:id="23"/>
    <w:bookmarkStart w:id="24" w:name="v.-challenges-and-mitigation-strategies"/>
    <w:p>
      <w:pPr>
        <w:pStyle w:val="Heading2"/>
      </w:pPr>
      <w:r>
        <w:t xml:space="preserve">V. Challenges and Mitigation Strategies</w:t>
      </w:r>
    </w:p>
    <w:p>
      <w:pPr>
        <w:pStyle w:val="FirstParagraph"/>
      </w:pPr>
      <w:r>
        <w:t xml:space="preserve">Despite strong growth, we encountered challenges specific to the Singapore Singapore environment:</w:t>
      </w:r>
    </w:p>
    <w:p>
      <w:pPr>
        <w:numPr>
          <w:ilvl w:val="0"/>
          <w:numId w:val="1004"/>
        </w:numPr>
        <w:pStyle w:val="Compact"/>
      </w:pPr>
      <w:r>
        <w:rPr>
          <w:bCs/>
          <w:b/>
        </w:rPr>
        <w:t xml:space="preserve">Regulatory Compliance:</w:t>
      </w:r>
      <w:r>
        <w:t xml:space="preserve"> </w:t>
      </w:r>
      <w:r>
        <w:t xml:space="preserve">Navigating strict healthcare regulations under the Private Healthcare Facilities Act required dedicated compliance officers. Solution: Created a Singapore-specific regulatory task force reducing approval timelines by 40%.</w:t>
      </w:r>
    </w:p>
    <w:p>
      <w:pPr>
        <w:numPr>
          <w:ilvl w:val="0"/>
          <w:numId w:val="1004"/>
        </w:numPr>
        <w:pStyle w:val="Compact"/>
      </w:pPr>
      <w:r>
        <w:rPr>
          <w:bCs/>
          <w:b/>
        </w:rPr>
        <w:t xml:space="preserve">Talent Shortage:</w:t>
      </w:r>
      <w:r>
        <w:t xml:space="preserve"> </w:t>
      </w:r>
      <w:r>
        <w:t xml:space="preserve">Competition for qualified dietitians in Singapore Singapore drove up recruitment costs by 22%. Mitigation: Launched "Dietitian Development Program" partnering with NUS and NTU, increasing local talent pipeline by 35%.</w:t>
      </w:r>
    </w:p>
    <w:p>
      <w:pPr>
        <w:numPr>
          <w:ilvl w:val="0"/>
          <w:numId w:val="1004"/>
        </w:numPr>
        <w:pStyle w:val="Compact"/>
      </w:pPr>
      <w:r>
        <w:rPr>
          <w:bCs/>
          <w:b/>
        </w:rPr>
        <w:t xml:space="preserve">Price Sensitivity:</w:t>
      </w:r>
      <w:r>
        <w:t xml:space="preserve"> </w:t>
      </w:r>
      <w:r>
        <w:t xml:space="preserve">18% of potential clients cited cost barriers. Response: Introduced tiered pricing with MediSave acceptance for all dietitian services in Singapore Singapore – now used by 42% of paying clients.</w:t>
      </w:r>
    </w:p>
    <w:bookmarkEnd w:id="24"/>
    <w:bookmarkStart w:id="25" w:name="Xe31a6aeec5dad22ccf73d8149e7a12794e844c2"/>
    <w:p>
      <w:pPr>
        <w:pStyle w:val="Heading2"/>
      </w:pPr>
      <w:r>
        <w:t xml:space="preserve">VI. Strategic Recommendations for Q4 2023</w:t>
      </w:r>
    </w:p>
    <w:p>
      <w:pPr>
        <w:pStyle w:val="FirstParagraph"/>
      </w:pPr>
      <w:r>
        <w:t xml:space="preserve">To sustain growth in the competitive landscape of Singapore Singapore, we propose:</w:t>
      </w:r>
    </w:p>
    <w:p>
      <w:pPr>
        <w:numPr>
          <w:ilvl w:val="0"/>
          <w:numId w:val="1005"/>
        </w:numPr>
        <w:pStyle w:val="Compact"/>
      </w:pPr>
      <w:r>
        <w:rPr>
          <w:bCs/>
          <w:b/>
        </w:rPr>
        <w:t xml:space="preserve">Expand Tele-Dietitian Service:</w:t>
      </w:r>
      <w:r>
        <w:t xml:space="preserve"> </w:t>
      </w:r>
      <w:r>
        <w:t xml:space="preserve">Target underserved communities in Woodlands and Punggol with subsidized virtual consultations through SG Enable partnerships.</w:t>
      </w:r>
    </w:p>
    <w:p>
      <w:pPr>
        <w:numPr>
          <w:ilvl w:val="0"/>
          <w:numId w:val="1005"/>
        </w:numPr>
        <w:pStyle w:val="Compact"/>
      </w:pPr>
      <w:r>
        <w:rPr>
          <w:bCs/>
          <w:b/>
        </w:rPr>
        <w:t xml:space="preserve">Leverage Data Analytics:</w:t>
      </w:r>
      <w:r>
        <w:t xml:space="preserve"> </w:t>
      </w:r>
      <w:r>
        <w:t xml:space="preserve">Develop predictive health models for Singapore Singapore using national health data to anticipate nutritional needs (e.g., seasonal dietary shifts during monsoon).</w:t>
      </w:r>
    </w:p>
    <w:p>
      <w:pPr>
        <w:numPr>
          <w:ilvl w:val="0"/>
          <w:numId w:val="1005"/>
        </w:numPr>
        <w:pStyle w:val="Compact"/>
      </w:pPr>
      <w:r>
        <w:rPr>
          <w:bCs/>
          <w:b/>
        </w:rPr>
        <w:t xml:space="preserve">Cultural Specialization:</w:t>
      </w:r>
      <w:r>
        <w:t xml:space="preserve"> </w:t>
      </w:r>
      <w:r>
        <w:t xml:space="preserve">Train dietitians in "Singaporean Heritage Nutrition" to address traditional food practices (e.g., laksa, chili crab), expected to increase client retention by 15%.</w:t>
      </w:r>
    </w:p>
    <w:bookmarkEnd w:id="25"/>
    <w:bookmarkStart w:id="26" w:name="vii.-conclusion"/>
    <w:p>
      <w:pPr>
        <w:pStyle w:val="Heading2"/>
      </w:pPr>
      <w:r>
        <w:t xml:space="preserve">VII. Conclusion</w:t>
      </w:r>
    </w:p>
    <w:p>
      <w:pPr>
        <w:pStyle w:val="FirstParagraph"/>
      </w:pPr>
      <w:r>
        <w:t xml:space="preserve">The Q3 Sales Report confirms our Dietitian services have become indispensable within Singapore Singapore's healthcare ecosystem. As the nation prioritizes preventative care through initiatives like Healthy SG, our data-driven approach to nutrition counseling positions us for sustained leadership. The 37% YoY growth demonstrates not only market acceptance but a fundamental shift in how Singaporeans perceive dietitians – from wellness advisors to essential health partners in Singapore Singapore. We recommend doubling down on technology integration and cultural specialization to capture the projected SGD 12 million dietitian market in Singapore by 2025, ensuring our position as the premier Dietitian service provider across all precincts of Singapore Singapore.</w:t>
      </w:r>
    </w:p>
    <w:p>
      <w:pPr>
        <w:pStyle w:val="BodyText"/>
      </w:pPr>
      <w:r>
        <w:rPr>
          <w:bCs/>
          <w:b/>
        </w:rPr>
        <w:t xml:space="preserve">Prepared By:</w:t>
      </w:r>
      <w:r>
        <w:t xml:space="preserve"> </w:t>
      </w:r>
      <w:r>
        <w:t xml:space="preserve">Alex Tan, Head of Sales &amp; Strategy</w:t>
      </w:r>
      <w:r>
        <w:br/>
      </w:r>
      <w:r>
        <w:rPr>
          <w:bCs/>
          <w:b/>
        </w:rPr>
        <w:t xml:space="preserve">Contact:</w:t>
      </w:r>
      <w:r>
        <w:t xml:space="preserve"> </w:t>
      </w:r>
      <w:r>
        <w:t xml:space="preserve">alex.tan@nutritionwellness.sg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Singapore Singapore</dc:title>
  <dc:creator/>
  <dc:language>en</dc:language>
  <cp:keywords/>
  <dcterms:created xsi:type="dcterms:W3CDTF">2025-12-09T20:13:51Z</dcterms:created>
  <dcterms:modified xsi:type="dcterms:W3CDTF">2025-12-09T20:13:51Z</dcterms:modified>
</cp:coreProperties>
</file>

<file path=docProps/custom.xml><?xml version="1.0" encoding="utf-8"?>
<Properties xmlns="http://schemas.openxmlformats.org/officeDocument/2006/custom-properties" xmlns:vt="http://schemas.openxmlformats.org/officeDocument/2006/docPropsVTypes"/>
</file>