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3cf43603ff3bdc9ded4f4425116992621b24139"/>
    <w:p>
      <w:pPr>
        <w:pStyle w:val="Heading1"/>
      </w:pPr>
      <w:r>
        <w:t xml:space="preserve">Sales Report: Professional Dietitian Services Market Analysis and Performance in Turkey Istanbul (Q3 2023)</w:t>
      </w:r>
    </w:p>
    <w:p>
      <w:pPr>
        <w:pStyle w:val="FirstParagraph"/>
      </w:pPr>
      <w:r>
        <w:t xml:space="preserve">This comprehensive Sales Report details the operational performance, market dynamics, and growth trajectory of professional dietitian services within the vibrant healthcare landscape of Turkey Istanbul. As one of the world's most culturally rich and health-conscious urban centers, Istanbul presents unique opportunities for specialized nutrition services. This report analyzes our Q3 2023 sales data while strategically positioning our Dietitian service offerings within Turkey's evolving wellness economy.</w:t>
      </w:r>
    </w:p>
    <w:bookmarkStart w:id="20" w:name="X5aed9c117c4d75bfa85399fc247cdde3088e4dc"/>
    <w:p>
      <w:pPr>
        <w:pStyle w:val="Heading2"/>
      </w:pPr>
      <w:r>
        <w:t xml:space="preserve">Market Context: Turkey Istanbul as a Strategic Growth Hub</w:t>
      </w:r>
    </w:p>
    <w:p>
      <w:pPr>
        <w:pStyle w:val="FirstParagraph"/>
      </w:pPr>
      <w:r>
        <w:t xml:space="preserve">Istanbul, with its population exceeding 15 million and representing over 15% of Turkey's total population, has emerged as the undisputed epicenter for health and wellness services in the country. The city's rapid urbanization, rising middle class incomes (with per capita healthcare expenditure increasing by 8.2% annually), and growing health awareness have created a perfect storm for demand-driven dietitian services. According to recent data from Turkey's Ministry of Health, obesity rates in Istanbul now exceed 35%, significantly higher than the national average of 29%. This epidemic has catalyzed unprecedented market potential for evidence-based dietary interventions. The Turkish government's recent "Healthy Turkey 2023" initiative further amplifies this opportunity by subsidizing preventive nutrition services in metropolitan areas like Istanbul.</w:t>
      </w:r>
    </w:p>
    <w:bookmarkEnd w:id="20"/>
    <w:bookmarkStart w:id="21" w:name="Xe43a2e0b4a85bf25d8bb01276636f89ddd9ed9c"/>
    <w:p>
      <w:pPr>
        <w:pStyle w:val="Heading2"/>
      </w:pPr>
      <w:r>
        <w:t xml:space="preserve">Q3 2023 Sales Performance: Quantitative Achievement</w:t>
      </w:r>
    </w:p>
    <w:p>
      <w:pPr>
        <w:pStyle w:val="FirstParagraph"/>
      </w:pPr>
      <w:r>
        <w:t xml:space="preserve">Our dietitian service portfolio in Turkey Istanbul achieved remarkable milestones during Q3 2023. Total revenue reached ₺1.87 million (approximately $158,000 USD), representing a 47% year-over-year increase and surpassing our quarterly target by 22%. This growth is particularly significant considering the economic volatility in Turkey's currency market. Key performance indicators include:</w:t>
      </w:r>
    </w:p>
    <w:p>
      <w:pPr>
        <w:numPr>
          <w:ilvl w:val="0"/>
          <w:numId w:val="1001"/>
        </w:numPr>
        <w:pStyle w:val="Compact"/>
      </w:pPr>
      <w:r>
        <w:rPr>
          <w:bCs/>
          <w:b/>
        </w:rPr>
        <w:t xml:space="preserve">Client Acquisition:</w:t>
      </w:r>
      <w:r>
        <w:t xml:space="preserve"> </w:t>
      </w:r>
      <w:r>
        <w:t xml:space="preserve">312 new clients acquired (up 58% YoY), with the majority coming from corporate wellness programs and hospital partnerships</w:t>
      </w:r>
    </w:p>
    <w:p>
      <w:pPr>
        <w:numPr>
          <w:ilvl w:val="0"/>
          <w:numId w:val="1001"/>
        </w:numPr>
        <w:pStyle w:val="Compact"/>
      </w:pPr>
      <w:r>
        <w:rPr>
          <w:bCs/>
          <w:b/>
        </w:rPr>
        <w:t xml:space="preserve">Service Mix:</w:t>
      </w:r>
      <w:r>
        <w:t xml:space="preserve"> </w:t>
      </w:r>
      <w:r>
        <w:t xml:space="preserve">Premium personalized nutrition plans (42% of revenue) outperformed group workshops (28%) and telehealth consultations (30%)</w:t>
      </w:r>
    </w:p>
    <w:p>
      <w:pPr>
        <w:numPr>
          <w:ilvl w:val="0"/>
          <w:numId w:val="1001"/>
        </w:numPr>
        <w:pStyle w:val="Compact"/>
      </w:pPr>
      <w:r>
        <w:rPr>
          <w:bCs/>
          <w:b/>
        </w:rPr>
        <w:t xml:space="preserve">Cancellation Rate:</w:t>
      </w:r>
      <w:r>
        <w:t xml:space="preserve"> </w:t>
      </w:r>
      <w:r>
        <w:t xml:space="preserve">Reduced to 5.7% (industry average is 12%), reflecting exceptional client satisfaction scores averaging 4.7/5.0</w:t>
      </w:r>
    </w:p>
    <w:p>
      <w:pPr>
        <w:numPr>
          <w:ilvl w:val="0"/>
          <w:numId w:val="1001"/>
        </w:numPr>
        <w:pStyle w:val="Compact"/>
      </w:pPr>
      <w:r>
        <w:rPr>
          <w:bCs/>
          <w:b/>
        </w:rPr>
        <w:t xml:space="preserve">Corporate Contracts:</w:t>
      </w:r>
      <w:r>
        <w:t xml:space="preserve"> </w:t>
      </w:r>
      <w:r>
        <w:t xml:space="preserve">Secured three major corporate wellness contracts with Istanbul-based multinational companies, contributing ₺380,000 to quarterly revenue</w:t>
      </w:r>
    </w:p>
    <w:bookmarkEnd w:id="21"/>
    <w:bookmarkStart w:id="22" w:name="Xcbdae8faf0e880a61f77ed346f82148111b99c5"/>
    <w:p>
      <w:pPr>
        <w:pStyle w:val="Heading2"/>
      </w:pPr>
      <w:r>
        <w:t xml:space="preserve">Demand Drivers: Why Dietitian Services Are Flourishing in Turkey Istanbul</w:t>
      </w:r>
    </w:p>
    <w:p>
      <w:pPr>
        <w:pStyle w:val="FirstParagraph"/>
      </w:pPr>
      <w:r>
        <w:t xml:space="preserve">The explosive growth of our dietitian services in Turkey Istanbul stems from four interconnected factors:</w:t>
      </w:r>
    </w:p>
    <w:p>
      <w:pPr>
        <w:numPr>
          <w:ilvl w:val="0"/>
          <w:numId w:val="1002"/>
        </w:numPr>
        <w:pStyle w:val="Compact"/>
      </w:pPr>
      <w:r>
        <w:rPr>
          <w:bCs/>
          <w:b/>
        </w:rPr>
        <w:t xml:space="preserve">Cultural Shifts:</w:t>
      </w:r>
      <w:r>
        <w:t xml:space="preserve"> </w:t>
      </w:r>
      <w:r>
        <w:t xml:space="preserve">Traditional Turkish cuisine's high-calorie components (baklava, kebabs, rice dishes) combined with modern sedentary lifestyles have created urgent nutritional needs. Our dietitians' ability to adapt Mediterranean dietary guidelines to local food culture has been pivotal.</w:t>
      </w:r>
    </w:p>
    <w:p>
      <w:pPr>
        <w:numPr>
          <w:ilvl w:val="0"/>
          <w:numId w:val="1002"/>
        </w:numPr>
        <w:pStyle w:val="Compact"/>
      </w:pPr>
      <w:r>
        <w:rPr>
          <w:bCs/>
          <w:b/>
        </w:rPr>
        <w:t xml:space="preserve">Regulatory Environment:</w:t>
      </w:r>
      <w:r>
        <w:t xml:space="preserve"> </w:t>
      </w:r>
      <w:r>
        <w:t xml:space="preserve">Turkey's 2021 Health Ministry decree mandating nutrition consultations for diabetes management significantly expanded our patient pool in Istanbul's public hospitals.</w:t>
      </w:r>
    </w:p>
    <w:p>
      <w:pPr>
        <w:numPr>
          <w:ilvl w:val="0"/>
          <w:numId w:val="1002"/>
        </w:numPr>
        <w:pStyle w:val="Compact"/>
      </w:pPr>
      <w:r>
        <w:rPr>
          <w:bCs/>
          <w:b/>
        </w:rPr>
        <w:t xml:space="preserve">Turkish Consumer Behavior:</w:t>
      </w:r>
      <w:r>
        <w:t xml:space="preserve"> </w:t>
      </w:r>
      <w:r>
        <w:t xml:space="preserve">Istanbul residents increasingly view dietitians as essential healthcare providers rather than luxury services. Google Trends shows a 140% year-over-year increase in "dietitian Istanbul" searches.</w:t>
      </w:r>
    </w:p>
    <w:p>
      <w:pPr>
        <w:numPr>
          <w:ilvl w:val="0"/>
          <w:numId w:val="1002"/>
        </w:numPr>
        <w:pStyle w:val="Compact"/>
      </w:pPr>
      <w:r>
        <w:rPr>
          <w:bCs/>
          <w:b/>
        </w:rPr>
        <w:t xml:space="preserve">Competitive Differentiation:</w:t>
      </w:r>
      <w:r>
        <w:t xml:space="preserve"> </w:t>
      </w:r>
      <w:r>
        <w:t xml:space="preserve">Our bilingual (Turkish/English) dietitians with cultural competency in Turkish food habits have captured market share from international competitors lacking local expertise.</w:t>
      </w:r>
    </w:p>
    <w:bookmarkEnd w:id="22"/>
    <w:bookmarkStart w:id="23" w:name="challenges-and-strategic-adaptations"/>
    <w:p>
      <w:pPr>
        <w:pStyle w:val="Heading2"/>
      </w:pPr>
      <w:r>
        <w:t xml:space="preserve">Challenges and Strategic Adaptations</w:t>
      </w:r>
    </w:p>
    <w:p>
      <w:pPr>
        <w:pStyle w:val="FirstParagraph"/>
      </w:pPr>
      <w:r>
        <w:t xml:space="preserve">Navigating Turkey's unique market required targeted adaptations. Currency fluctuations initially impacted pricing strategy, but we implemented a dynamic pricing model where 70% of fees are in USD for international clients while maintaining competitive ₺ rates for local patients. Another challenge was aligning with Turkey's traditional healthcare referral system; we now partner with 12 major Istanbul clinics to create seamless patient handoffs from physicians to dietitians.</w:t>
      </w:r>
    </w:p>
    <w:p>
      <w:pPr>
        <w:pStyle w:val="BodyText"/>
      </w:pPr>
      <w:r>
        <w:t xml:space="preserve">Crucially, our sales team conducted extensive cultural immersion training focused on Turkish dietary customs. For instance, our "Istanbul Meal Pattern" program teaches clients how to modify traditional dishes (like turning cheese-filled börek into a protein-rich breakfast option) rather than eliminating beloved foods. This culturally sensitive approach has driven a 32% increase in retention rates compared to generic diet programs.</w:t>
      </w:r>
    </w:p>
    <w:bookmarkEnd w:id="23"/>
    <w:bookmarkStart w:id="24" w:name="X90e661837f0a609ba35cf8f3974b672937a1cd9"/>
    <w:p>
      <w:pPr>
        <w:pStyle w:val="Heading2"/>
      </w:pPr>
      <w:r>
        <w:t xml:space="preserve">Geographic Sales Distribution Within Istanbul</w:t>
      </w:r>
    </w:p>
    <w:p>
      <w:pPr>
        <w:pStyle w:val="FirstParagraph"/>
      </w:pPr>
      <w:r>
        <w:t xml:space="preserve">Sales data reveals distinct regional demand patterns across Istanbul's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w:t>
            </w:r>
          </w:p>
        </w:tc>
        <w:tc>
          <w:tcPr/>
          <w:p>
            <w:pPr>
              <w:pStyle w:val="Compact"/>
              <w:jc w:val="left"/>
            </w:pPr>
            <w:r>
              <w:t xml:space="preserve">Client Density</w:t>
            </w:r>
          </w:p>
        </w:tc>
        <w:tc>
          <w:tcPr/>
          <w:p>
            <w:pPr>
              <w:pStyle w:val="Compact"/>
              <w:jc w:val="left"/>
            </w:pPr>
            <w:r>
              <w:t xml:space="preserve">Primary Service Demand</w:t>
            </w:r>
          </w:p>
        </w:tc>
        <w:tc>
          <w:tcPr/>
          <w:p>
            <w:pPr>
              <w:pStyle w:val="Compact"/>
              <w:jc w:val="left"/>
            </w:pPr>
            <w:r>
              <w:t xml:space="preserve">% of Total Revenue</w:t>
            </w:r>
          </w:p>
        </w:tc>
      </w:tr>
      <w:tr>
        <w:tc>
          <w:tcPr/>
          <w:p>
            <w:pPr>
              <w:pStyle w:val="Compact"/>
              <w:jc w:val="left"/>
            </w:pPr>
            <w:r>
              <w:t xml:space="preserve">Bakırköy (Medical Hub)</w:t>
            </w:r>
          </w:p>
        </w:tc>
        <w:tc>
          <w:tcPr/>
          <w:p>
            <w:pPr>
              <w:pStyle w:val="Compact"/>
              <w:jc w:val="left"/>
            </w:pPr>
            <w:r>
              <w:t xml:space="preserve">High (28%)</w:t>
            </w:r>
          </w:p>
        </w:tc>
        <w:tc>
          <w:tcPr/>
          <w:p>
            <w:pPr>
              <w:pStyle w:val="Compact"/>
              <w:jc w:val="left"/>
            </w:pPr>
            <w:r>
              <w:t xml:space="preserve">Premium consultations, metabolic disorder management</w:t>
            </w:r>
          </w:p>
        </w:tc>
        <w:tc>
          <w:tcPr/>
          <w:p>
            <w:pPr>
              <w:pStyle w:val="Compact"/>
              <w:jc w:val="left"/>
            </w:pPr>
            <w:r>
              <w:t xml:space="preserve">34%</w:t>
            </w:r>
          </w:p>
        </w:tc>
      </w:tr>
      <w:tr>
        <w:tc>
          <w:tcPr/>
          <w:p>
            <w:pPr>
              <w:pStyle w:val="Compact"/>
              <w:jc w:val="left"/>
            </w:pPr>
            <w:r>
              <w:t xml:space="preserve">Sultanbeyli (Residential Zone)</w:t>
            </w:r>
          </w:p>
        </w:tc>
        <w:tc>
          <w:tcPr/>
          <w:p>
            <w:pPr>
              <w:pStyle w:val="Compact"/>
              <w:jc w:val="left"/>
            </w:pPr>
            <w:r>
              <w:t xml:space="preserve">Medium-High (21%)</w:t>
            </w:r>
          </w:p>
        </w:tc>
        <w:tc>
          <w:tcPr/>
          <w:p>
            <w:pPr>
              <w:pStyle w:val="Compact"/>
              <w:jc w:val="left"/>
            </w:pPr>
            <w:r>
              <w:t xml:space="preserve">Nutrition workshops, weight management</w:t>
            </w:r>
          </w:p>
        </w:tc>
        <w:tc>
          <w:tcPr/>
          <w:p>
            <w:pPr>
              <w:pStyle w:val="Compact"/>
              <w:jc w:val="left"/>
            </w:pPr>
            <w:r>
              <w:t xml:space="preserve">28%</w:t>
            </w:r>
          </w:p>
        </w:tc>
      </w:tr>
      <w:tr>
        <w:tc>
          <w:tcPr/>
          <w:p>
            <w:pPr>
              <w:pStyle w:val="Compact"/>
              <w:jc w:val="left"/>
            </w:pPr>
            <w:r>
              <w:t xml:space="preserve">Kadıköy (Trendy District)</w:t>
            </w:r>
          </w:p>
        </w:tc>
        <w:tc>
          <w:tcPr/>
          <w:p>
            <w:pPr>
              <w:pStyle w:val="Compact"/>
              <w:jc w:val="left"/>
            </w:pPr>
            <w:r>
              <w:t xml:space="preserve">Very High (35%)</w:t>
            </w:r>
          </w:p>
        </w:tc>
        <w:tc>
          <w:tcPr/>
          <w:p>
            <w:pPr>
              <w:pStyle w:val="Compact"/>
              <w:jc w:val="left"/>
            </w:pPr>
            <w:r>
              <w:t xml:space="preserve">Vegan/vegetarian plans, sports nutrition</w:t>
            </w:r>
          </w:p>
        </w:tc>
        <w:tc>
          <w:tcPr/>
          <w:p>
            <w:pPr>
              <w:pStyle w:val="Compact"/>
              <w:jc w:val="left"/>
            </w:pPr>
            <w:r>
              <w:t xml:space="preserve">24%</w:t>
            </w:r>
          </w:p>
        </w:tc>
      </w:tr>
      <w:tr>
        <w:tc>
          <w:tcPr/>
          <w:p>
            <w:pPr>
              <w:pStyle w:val="Compact"/>
              <w:jc w:val="left"/>
            </w:pPr>
            <w:r>
              <w:t xml:space="preserve">Dikmen (Corporate Zone)</w:t>
            </w:r>
          </w:p>
        </w:tc>
        <w:tc>
          <w:tcPr/>
          <w:p>
            <w:pPr>
              <w:pStyle w:val="Compact"/>
              <w:jc w:val="left"/>
            </w:pPr>
            <w:r>
              <w:t xml:space="preserve">Medium (16%)</w:t>
            </w:r>
          </w:p>
        </w:tc>
        <w:tc>
          <w:tcPr/>
          <w:p>
            <w:pPr>
              <w:pStyle w:val="Compact"/>
              <w:jc w:val="left"/>
            </w:pPr>
            <w:r>
              <w:t xml:space="preserve">Employee wellness programs, stress management diets</w:t>
            </w:r>
          </w:p>
        </w:tc>
        <w:tc>
          <w:tcPr/>
          <w:p>
            <w:pPr>
              <w:pStyle w:val="Compact"/>
              <w:jc w:val="left"/>
            </w:pPr>
            <w:r>
              <w:t xml:space="preserve">14%</w:t>
            </w:r>
          </w:p>
        </w:tc>
      </w:tr>
    </w:tbl>
    <w:bookmarkEnd w:id="24"/>
    <w:bookmarkStart w:id="25" w:name="Xc5ac1647e41992c92c9ea0a1769842940fb7f57"/>
    <w:p>
      <w:pPr>
        <w:pStyle w:val="Heading2"/>
      </w:pPr>
      <w:r>
        <w:t xml:space="preserve">Growth Strategy: Sustaining Momentum in Turkey Istanbul</w:t>
      </w:r>
    </w:p>
    <w:p>
      <w:pPr>
        <w:pStyle w:val="FirstParagraph"/>
      </w:pPr>
      <w:r>
        <w:t xml:space="preserve">To capitalize on our Q3 success, we are implementing three strategic initiatives specifically for the Turkey Istanbul market:</w:t>
      </w:r>
    </w:p>
    <w:p>
      <w:pPr>
        <w:numPr>
          <w:ilvl w:val="0"/>
          <w:numId w:val="1003"/>
        </w:numPr>
        <w:pStyle w:val="Compact"/>
      </w:pPr>
      <w:r>
        <w:rPr>
          <w:bCs/>
          <w:b/>
        </w:rPr>
        <w:t xml:space="preserve">AI-Powered Turkish Food Database:</w:t>
      </w:r>
      <w:r>
        <w:t xml:space="preserve"> </w:t>
      </w:r>
      <w:r>
        <w:t xml:space="preserve">Launching a proprietary database mapping 1,200+ local ingredients with nutritional profiles to accelerate dietary planning (launching October 2023).</w:t>
      </w:r>
    </w:p>
    <w:p>
      <w:pPr>
        <w:numPr>
          <w:ilvl w:val="0"/>
          <w:numId w:val="1003"/>
        </w:numPr>
        <w:pStyle w:val="Compact"/>
      </w:pPr>
      <w:r>
        <w:rPr>
          <w:bCs/>
          <w:b/>
        </w:rPr>
        <w:t xml:space="preserve">Social Media Expansion:</w:t>
      </w:r>
      <w:r>
        <w:t xml:space="preserve"> </w:t>
      </w:r>
      <w:r>
        <w:t xml:space="preserve">Partnering with popular Turkish health influencers (e.g., @IstanbulHealthTips with 850k followers) for culturally authentic content series.</w:t>
      </w:r>
    </w:p>
    <w:p>
      <w:pPr>
        <w:numPr>
          <w:ilvl w:val="0"/>
          <w:numId w:val="1003"/>
        </w:numPr>
        <w:pStyle w:val="Compact"/>
      </w:pPr>
      <w:r>
        <w:rPr>
          <w:bCs/>
          <w:b/>
        </w:rPr>
        <w:t xml:space="preserve">Government Partnership:</w:t>
      </w:r>
      <w:r>
        <w:t xml:space="preserve"> </w:t>
      </w:r>
      <w:r>
        <w:t xml:space="preserve">Negotiating a contract to provide dietitian services at Istanbul's new "Healthy City" public health centers, targeting 10,000+ monthly consultations by Q2 2024.</w:t>
      </w:r>
    </w:p>
    <w:bookmarkEnd w:id="25"/>
    <w:bookmarkStart w:id="26" w:name="X4d1559ad5d66abe0148f80bbb0dda41b2ad72b5"/>
    <w:p>
      <w:pPr>
        <w:pStyle w:val="Heading2"/>
      </w:pPr>
      <w:r>
        <w:t xml:space="preserve">Conclusion: The Future of Dietitian Services in Turkey Istanbul</w:t>
      </w:r>
    </w:p>
    <w:p>
      <w:pPr>
        <w:pStyle w:val="FirstParagraph"/>
      </w:pPr>
      <w:r>
        <w:t xml:space="preserve">This Sales Report confirms that our dietitian services have successfully penetrated the Turkey Istanbul market by aligning clinical expertise with cultural intelligence. The convergence of rising health consciousness, regulatory support, and strategic localization has created a self-sustaining growth engine. As Istanbul continues its journey toward becoming a global wellness destination—evidenced by the city's 2025 vision to host Asia's largest health tourism fair—we project 65% revenue growth in Q4 2023 with expansion into secondary Turkish cities like Ankara and Izmir.</w:t>
      </w:r>
    </w:p>
    <w:p>
      <w:pPr>
        <w:pStyle w:val="BodyText"/>
      </w:pPr>
      <w:r>
        <w:t xml:space="preserve">For stakeholders, this report demonstrates that investing in culturally nuanced dietitian services within Istanbul is not merely viable but strategically imperative. Our data-driven approach to serving Turkey's unique nutritional landscape has positioned us as the market leader in a sector poised for exponential growth. The future of nutrition science in Turkey Istanbul isn't just about counting calories—it's about understanding the cultural significance of every meal, and our dietitian services have mastered this art while driving exceptional sales performance.</w:t>
      </w:r>
    </w:p>
    <w:p>
      <w:pPr>
        <w:pStyle w:val="BodyText"/>
      </w:pPr>
      <w:r>
        <w:rPr>
          <w:bCs/>
          <w:b/>
        </w:rPr>
        <w:t xml:space="preserve">Prepared by:</w:t>
      </w:r>
      <w:r>
        <w:t xml:space="preserve"> </w:t>
      </w:r>
      <w:r>
        <w:t xml:space="preserve">Istanbul Wellness Solutions Sales Analytics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Turkey Istanbul</dc:title>
  <dc:creator/>
  <dc:language>en</dc:language>
  <cp:keywords/>
  <dcterms:created xsi:type="dcterms:W3CDTF">2026-07-24T18:29:17Z</dcterms:created>
  <dcterms:modified xsi:type="dcterms:W3CDTF">2026-07-24T18:29:17Z</dcterms:modified>
</cp:coreProperties>
</file>

<file path=docProps/custom.xml><?xml version="1.0" encoding="utf-8"?>
<Properties xmlns="http://schemas.openxmlformats.org/officeDocument/2006/custom-properties" xmlns:vt="http://schemas.openxmlformats.org/officeDocument/2006/docPropsVTypes"/>
</file>