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ab6efe5512aa336a9f447b78d8907ba2bb088ca"/>
    <w:p>
      <w:pPr>
        <w:pStyle w:val="Heading1"/>
      </w:pPr>
      <w:r>
        <w:t xml:space="preserve">Annual Sales Performance Report: Dietitian Services Market Analysis &amp; Strategic Outlook for Abu Dhabi, United Arab Emirates</w:t>
      </w:r>
    </w:p>
    <w:bookmarkStart w:id="28" w:name="X1b1e52293da28233505a32e12cb0fad3601f63d"/>
    <w:p>
      <w:pPr>
        <w:pStyle w:val="Heading2"/>
      </w:pPr>
      <w:r>
        <w:t xml:space="preserve">Prepared For: Healthcare Investment Committee, Abu Dhabi Department of Health</w:t>
      </w:r>
    </w:p>
    <w:p>
      <w:pPr>
        <w:pStyle w:val="FirstParagraph"/>
      </w:pPr>
      <w:r>
        <w:rPr>
          <w:bCs/>
          <w:b/>
        </w:rPr>
        <w:t xml:space="preserve">Date:</w:t>
      </w:r>
      <w:r>
        <w:t xml:space="preserve"> </w:t>
      </w:r>
      <w:r>
        <w:t xml:space="preserve">October 26, 2023</w:t>
      </w:r>
    </w:p>
    <w:bookmarkStart w:id="20" w:name="i.-executive-summary"/>
    <w:p>
      <w:pPr>
        <w:pStyle w:val="Heading3"/>
      </w:pPr>
      <w:r>
        <w:t xml:space="preserve">I. Executive Summary</w:t>
      </w:r>
    </w:p>
    <w:p>
      <w:pPr>
        <w:pStyle w:val="FirstParagraph"/>
      </w:pPr>
      <w:r>
        <w:t xml:space="preserve">This report details the dynamic performance and market trajectory of dietitian services within the United Arab Emirates, with specific focus on Abu Dhabi. The demand for specialized nutritional expertise has surged by 47% year-over-year in Abu Dhabi, driven by national health initiatives like the "Abu Dhabi Healthy Lifestyle Strategy" and rising obesity rates (32% prevalence among adults). Our sales pipeline reflects this momentum, with dietitian service contracts securing AED 18.7 million in Q3 2023 alone – a 65% increase from the same period last year. This growth underscores the critical role dietitians play in Abu Dhabi's healthcare ecosystem and presents significant commercial opportunity across corporate, clinical, and wellness sectors.</w:t>
      </w:r>
    </w:p>
    <w:bookmarkEnd w:id="20"/>
    <w:bookmarkStart w:id="21" w:name="X053bd64690fdb71f9c986e563fac7a1e538dbff"/>
    <w:p>
      <w:pPr>
        <w:pStyle w:val="Heading3"/>
      </w:pPr>
      <w:r>
        <w:t xml:space="preserve">II. Market Context: Dietitian Demand in Abu Dhabi</w:t>
      </w:r>
    </w:p>
    <w:p>
      <w:pPr>
        <w:pStyle w:val="FirstParagraph"/>
      </w:pPr>
      <w:r>
        <w:t xml:space="preserve">The United Arab Emirates has prioritized preventive healthcare through initiatives such as the National Strategy for Diabetes Prevention and Control 2021-2030. Abu Dhabi, as a regional health hub, has intensified its focus on nutrition-based interventions. With over 68% of UAE adults classified as overweight or obese (WHO, 2023), dietitian services have transitioned from niche to essential healthcare component. The Abu Dhabi Health Services Company (SEHA) now mandates nutritional assessments for all chronic disease management programs, directly boosting demand for certified dietitians across public and private facilities.</w:t>
      </w:r>
    </w:p>
    <w:bookmarkEnd w:id="21"/>
    <w:bookmarkStart w:id="22" w:name="X81b0df65af77b4ac5cb7c198cda8cbb914d9f06"/>
    <w:p>
      <w:pPr>
        <w:pStyle w:val="Heading3"/>
      </w:pPr>
      <w:r>
        <w:t xml:space="preserve">III. Sales Performance Analysis: Key Metrics (Q1-Q3 2023)</w:t>
      </w:r>
    </w:p>
    <w:p>
      <w:pPr>
        <w:pStyle w:val="FirstParagraph"/>
      </w:pPr>
      <w:r>
        <w:t xml:space="preserve">Service Segment</w:t>
      </w:r>
    </w:p>
    <w:p>
      <w:pPr>
        <w:pStyle w:val="BodyText"/>
      </w:pPr>
      <w:r>
        <w:t xml:space="preserve">Q1 2023 Revenue (AED)</w:t>
      </w:r>
    </w:p>
    <w:p>
      <w:pPr>
        <w:pStyle w:val="BodyText"/>
      </w:pPr>
      <w:r>
        <w:t xml:space="preserve">Q2 2023 Revenue (AED)</w:t>
      </w:r>
    </w:p>
    <w:p>
      <w:pPr>
        <w:pStyle w:val="BodyText"/>
      </w:pPr>
      <w:r>
        <w:t xml:space="preserve">Q3 2023 Revenue (AED)</w:t>
      </w:r>
    </w:p>
    <w:p>
      <w:pPr>
        <w:pStyle w:val="BodyText"/>
      </w:pPr>
      <w:r>
        <w:t xml:space="preserve">% Growth QoQ</w:t>
      </w:r>
    </w:p>
    <w:p>
      <w:pPr>
        <w:pStyle w:val="BodyText"/>
      </w:pPr>
      <w:r>
        <w:t xml:space="preserve">Corporate Wellness Programs</w:t>
      </w:r>
    </w:p>
    <w:p>
      <w:pPr>
        <w:pStyle w:val="BodyText"/>
      </w:pPr>
      <w:r>
        <w:t xml:space="preserve">1,850,000</w:t>
      </w:r>
    </w:p>
    <w:p>
      <w:pPr>
        <w:pStyle w:val="BodyText"/>
      </w:pPr>
      <w:r>
        <w:t xml:space="preserve">2,410,000</w:t>
      </w:r>
    </w:p>
    <w:p>
      <w:pPr>
        <w:pStyle w:val="BodyText"/>
      </w:pPr>
      <w:r>
        <w:t xml:space="preserve">3,925,673</w:t>
      </w:r>
    </w:p>
    <w:p>
      <w:pPr>
        <w:pStyle w:val="BodyText"/>
      </w:pPr>
      <w:r>
        <w:t xml:space="preserve">63.2%</w:t>
      </w:r>
    </w:p>
    <w:p>
      <w:pPr>
        <w:pStyle w:val="BodyText"/>
      </w:pPr>
      <w:r>
        <w:t xml:space="preserve">Hospital &amp; Clinic Partnerships</w:t>
      </w:r>
    </w:p>
    <w:p>
      <w:pPr>
        <w:pStyle w:val="BodyText"/>
      </w:pPr>
      <w:r>
        <w:t xml:space="preserve">3,275,400</w:t>
      </w:r>
    </w:p>
    <w:p>
      <w:pPr>
        <w:pStyle w:val="BodyText"/>
      </w:pPr>
      <w:r>
        <w:t xml:space="preserve">4,189,750</w:t>
      </w:r>
    </w:p>
    <w:p>
      <w:pPr>
        <w:pStyle w:val="BodyText"/>
      </w:pPr>
      <w:r>
        <w:t xml:space="preserve">5,891,230</w:t>
      </w:r>
    </w:p>
    <w:p>
      <w:pPr>
        <w:pStyle w:val="BodyText"/>
      </w:pPr>
      <w:r>
        <w:t xml:space="preserve">41.6%</w:t>
      </w:r>
    </w:p>
    <w:p>
      <w:pPr>
        <w:pStyle w:val="BodyText"/>
      </w:pPr>
      <w:r>
        <w:t xml:space="preserve">Fitness &amp; Luxury Wellness Centers</w:t>
      </w:r>
    </w:p>
    <w:p>
      <w:pPr>
        <w:pStyle w:val="BodyText"/>
      </w:pPr>
      <w:r>
        <w:t xml:space="preserve">923,750</w:t>
      </w:r>
    </w:p>
    <w:p>
      <w:pPr>
        <w:pStyle w:val="BodyText"/>
      </w:pPr>
      <w:r>
        <w:t xml:space="preserve">1,478,620</w:t>
      </w:r>
    </w:p>
    <w:p>
      <w:pPr>
        <w:pStyle w:val="BodyText"/>
      </w:pPr>
      <w:r>
        <w:t xml:space="preserve">2,854,198</w:t>
      </w:r>
    </w:p>
    <w:p>
      <w:pPr>
        <w:pStyle w:val="BodyText"/>
      </w:pPr>
      <w:r>
        <w:t xml:space="preserve">93.1%</w:t>
      </w:r>
    </w:p>
    <w:p>
      <w:pPr>
        <w:pStyle w:val="BodyText"/>
      </w:pPr>
      <w:r>
        <w:t xml:space="preserve">Total Sales (AED)</w:t>
      </w:r>
    </w:p>
    <w:p>
      <w:pPr>
        <w:pStyle w:val="BodyText"/>
      </w:pPr>
      <w:r>
        <w:t xml:space="preserve">6,049,150</w:t>
      </w:r>
    </w:p>
    <w:p>
      <w:pPr>
        <w:pStyle w:val="BodyText"/>
      </w:pPr>
      <w:r>
        <w:t xml:space="preserve">7,978,370</w:t>
      </w:r>
    </w:p>
    <w:p>
      <w:pPr>
        <w:pStyle w:val="BodyText"/>
      </w:pPr>
      <w:r>
        <w:t xml:space="preserve">12,671,101</w:t>
      </w:r>
    </w:p>
    <w:p>
      <w:pPr>
        <w:pStyle w:val="BodyText"/>
      </w:pPr>
      <w:r>
        <w:t xml:space="preserve">Average QoQ Growth: 65.8%</w:t>
      </w:r>
    </w:p>
    <w:p>
      <w:pPr>
        <w:pStyle w:val="BodyText"/>
      </w:pPr>
      <w:r>
        <w:t xml:space="preserve">*All figures inclusive of contractual renewals &amp; new client acquisitions</w:t>
      </w:r>
    </w:p>
    <w:bookmarkEnd w:id="22"/>
    <w:bookmarkStart w:id="23" w:name="X15ab41ff03b11ccffefcddb18612eca368c9b66"/>
    <w:p>
      <w:pPr>
        <w:pStyle w:val="Heading3"/>
      </w:pPr>
      <w:r>
        <w:t xml:space="preserve">IV. Critical Drivers of Sales Success in Abu Dhabi</w:t>
      </w:r>
    </w:p>
    <w:p>
      <w:pPr>
        <w:pStyle w:val="FirstParagraph"/>
      </w:pPr>
      <w:r>
        <w:rPr>
          <w:bCs/>
          <w:b/>
        </w:rPr>
        <w:t xml:space="preserve">1. Regulatory Alignment:</w:t>
      </w:r>
      <w:r>
        <w:t xml:space="preserve"> </w:t>
      </w:r>
      <w:r>
        <w:t xml:space="preserve">SEHA's 2022 mandate requiring dietitian-led nutritional planning for diabetes/obesity management directly fueled a 54% increase in hospital contracts with our network.</w:t>
      </w:r>
    </w:p>
    <w:p>
      <w:pPr>
        <w:pStyle w:val="BodyText"/>
      </w:pPr>
      <w:r>
        <w:rPr>
          <w:bCs/>
          <w:b/>
        </w:rPr>
        <w:t xml:space="preserve">2. Corporate Demand Acceleration:</w:t>
      </w:r>
      <w:r>
        <w:t xml:space="preserve"> </w:t>
      </w:r>
      <w:r>
        <w:t xml:space="preserve">Abu Dhabi's business community (particularly in financial districts like Al Maryah Island) has prioritized employee wellness. Companies such as ADNOC and Etihad Airways now include dietitian services in mandatory annual health packages – contributing 38% of total corporate revenue.</w:t>
      </w:r>
    </w:p>
    <w:p>
      <w:pPr>
        <w:pStyle w:val="BodyText"/>
      </w:pPr>
      <w:r>
        <w:rPr>
          <w:bCs/>
          <w:b/>
        </w:rPr>
        <w:t xml:space="preserve">3. Cultural Adaptation:</w:t>
      </w:r>
      <w:r>
        <w:t xml:space="preserve"> </w:t>
      </w:r>
      <w:r>
        <w:t xml:space="preserve">Our Abu Dhabi team's development of culturally tailored meal plans (integrating Emirati cuisine with modern nutrition science) resulted in 92% client retention rates, significantly outperforming generic international service providers.</w:t>
      </w:r>
    </w:p>
    <w:bookmarkEnd w:id="23"/>
    <w:bookmarkStart w:id="24" w:name="X8af1f7d4f58881dbcc6b8701e953867669238d8"/>
    <w:p>
      <w:pPr>
        <w:pStyle w:val="Heading3"/>
      </w:pPr>
      <w:r>
        <w:t xml:space="preserve">V. Target Client Segments &amp; Sales Conversion</w:t>
      </w:r>
    </w:p>
    <w:p>
      <w:pPr>
        <w:pStyle w:val="FirstParagraph"/>
      </w:pPr>
      <w:r>
        <w:t xml:space="preserve">Abu Dhabi's market reveals three high-value segments driving sales:</w:t>
      </w:r>
    </w:p>
    <w:p>
      <w:pPr>
        <w:numPr>
          <w:ilvl w:val="0"/>
          <w:numId w:val="1001"/>
        </w:numPr>
        <w:pStyle w:val="Compact"/>
      </w:pPr>
      <w:r>
        <w:rPr>
          <w:bCs/>
          <w:b/>
        </w:rPr>
        <w:t xml:space="preserve">Government Health Initiatives (28% of Revenue):</w:t>
      </w:r>
      <w:r>
        <w:t xml:space="preserve"> </w:t>
      </w:r>
      <w:r>
        <w:t xml:space="preserve">SEHA's "Nutrition for All" program contracted 15 dietitian teams across community health centers. Sales cycle: 4-6 months due to procurement protocols, but average contract value (ACV) is AED 750,000 annually.</w:t>
      </w:r>
    </w:p>
    <w:p>
      <w:pPr>
        <w:numPr>
          <w:ilvl w:val="0"/>
          <w:numId w:val="1001"/>
        </w:numPr>
        <w:pStyle w:val="Compact"/>
      </w:pPr>
      <w:r>
        <w:rPr>
          <w:bCs/>
          <w:b/>
        </w:rPr>
        <w:t xml:space="preserve">High-Net-Worth Individuals (31% of Revenue):</w:t>
      </w:r>
      <w:r>
        <w:t xml:space="preserve"> </w:t>
      </w:r>
      <w:r>
        <w:t xml:space="preserve">Luxury wellness resorts (e.g., Ritz-Carlton Abu Dhabi) and private medical clinics cater to affluent expats/locals seeking personalized nutrition. These clients exhibit 58% higher spending on premium services like DNA-based dietary planning.</w:t>
      </w:r>
    </w:p>
    <w:p>
      <w:pPr>
        <w:numPr>
          <w:ilvl w:val="0"/>
          <w:numId w:val="1001"/>
        </w:numPr>
        <w:pStyle w:val="Compact"/>
      </w:pPr>
      <w:r>
        <w:rPr>
          <w:bCs/>
          <w:b/>
        </w:rPr>
        <w:t xml:space="preserve">Corporate Health Partnerships (41% of Revenue):</w:t>
      </w:r>
      <w:r>
        <w:t xml:space="preserve"> </w:t>
      </w:r>
      <w:r>
        <w:t xml:space="preserve">Fastest-growing segment, with 32 new corporate contracts signed in Q3 alone. Sales conversion rate improved to 78% through workshops demonstrating ROI (e.g., reduced absenteeism by 22% in pilot companies).</w:t>
      </w:r>
    </w:p>
    <w:bookmarkEnd w:id="24"/>
    <w:bookmarkStart w:id="25" w:name="vi.-challenges-strategic-opportunities"/>
    <w:p>
      <w:pPr>
        <w:pStyle w:val="Heading3"/>
      </w:pPr>
      <w:r>
        <w:t xml:space="preserve">VI. Challenges &amp; Strategic Opportunities</w:t>
      </w:r>
    </w:p>
    <w:p>
      <w:pPr>
        <w:pStyle w:val="FirstParagraph"/>
      </w:pPr>
      <w:r>
        <w:rPr>
          <w:bCs/>
          <w:b/>
        </w:rPr>
        <w:t xml:space="preserve">Key Obstacles:</w:t>
      </w:r>
    </w:p>
    <w:p>
      <w:pPr>
        <w:numPr>
          <w:ilvl w:val="0"/>
          <w:numId w:val="1002"/>
        </w:numPr>
        <w:pStyle w:val="Compact"/>
      </w:pPr>
      <w:r>
        <w:t xml:space="preserve">Labor shortage: Only 148 certified dietitians serve Abu Dhabi's population of 1.6 million (vs. WHO's recommended ratio of 1:50,000).</w:t>
      </w:r>
    </w:p>
    <w:p>
      <w:pPr>
        <w:numPr>
          <w:ilvl w:val="0"/>
          <w:numId w:val="1002"/>
        </w:numPr>
        <w:pStyle w:val="Compact"/>
      </w:pPr>
      <w:r>
        <w:t xml:space="preserve">Client awareness gaps: Only 37% of Abu Dhabi residents associate dietitians with chronic disease prevention (vs. UAE average of 52% in Dubai).</w:t>
      </w:r>
    </w:p>
    <w:p>
      <w:pPr>
        <w:pStyle w:val="FirstParagraph"/>
      </w:pPr>
      <w:r>
        <w:rPr>
          <w:bCs/>
          <w:b/>
        </w:rPr>
        <w:t xml:space="preserve">Strategic Opportunities:</w:t>
      </w:r>
    </w:p>
    <w:p>
      <w:pPr>
        <w:numPr>
          <w:ilvl w:val="0"/>
          <w:numId w:val="1003"/>
        </w:numPr>
        <w:pStyle w:val="Compact"/>
      </w:pPr>
      <w:r>
        <w:rPr>
          <w:bCs/>
          <w:b/>
        </w:rPr>
        <w:t xml:space="preserve">Government Partnership Expansion:</w:t>
      </w:r>
      <w:r>
        <w:t xml:space="preserve"> </w:t>
      </w:r>
      <w:r>
        <w:t xml:space="preserve">Leverage Abu Dhabi's new "Health Innovation Fund" to co-develop AI-driven nutritional assessment tools for SEHA clinics – projected 20% revenue uplift.</w:t>
      </w:r>
    </w:p>
    <w:p>
      <w:pPr>
        <w:numPr>
          <w:ilvl w:val="0"/>
          <w:numId w:val="1003"/>
        </w:numPr>
        <w:pStyle w:val="Compact"/>
      </w:pPr>
      <w:r>
        <w:rPr>
          <w:bCs/>
          <w:b/>
        </w:rPr>
        <w:t xml:space="preserve">Cultural Marketing Campaigns:</w:t>
      </w:r>
      <w:r>
        <w:t xml:space="preserve"> </w:t>
      </w:r>
      <w:r>
        <w:t xml:space="preserve">Partner with Emirati influencers for "Iftar Nutrition Series" on social media, targeting Ramadan health trends (est. 30% new lead generation).</w:t>
      </w:r>
    </w:p>
    <w:p>
      <w:pPr>
        <w:numPr>
          <w:ilvl w:val="0"/>
          <w:numId w:val="1003"/>
        </w:numPr>
        <w:pStyle w:val="Compact"/>
      </w:pPr>
      <w:r>
        <w:rPr>
          <w:bCs/>
          <w:b/>
        </w:rPr>
        <w:t xml:space="preserve">School &amp; University Programs:</w:t>
      </w:r>
      <w:r>
        <w:t xml:space="preserve"> </w:t>
      </w:r>
      <w:r>
        <w:t xml:space="preserve">Pitch preventative nutrition modules to Abu Dhabi University and public schools – potential AED 1.2M revenue stream from annual contracts.</w:t>
      </w:r>
    </w:p>
    <w:bookmarkEnd w:id="25"/>
    <w:bookmarkStart w:id="26" w:name="Xabcf9dd37d7bd75f1edd4b3ed535100bd90a934"/>
    <w:p>
      <w:pPr>
        <w:pStyle w:val="Heading3"/>
      </w:pPr>
      <w:r>
        <w:t xml:space="preserve">VII. Sales Forecast &amp; Strategic Recommendations (Q4 2023 - Q1 2024)</w:t>
      </w:r>
    </w:p>
    <w:p>
      <w:pPr>
        <w:pStyle w:val="FirstParagraph"/>
      </w:pPr>
      <w:r>
        <w:t xml:space="preserve">Based on current momentum, we project:</w:t>
      </w:r>
    </w:p>
    <w:p>
      <w:pPr>
        <w:numPr>
          <w:ilvl w:val="0"/>
          <w:numId w:val="1004"/>
        </w:numPr>
        <w:pStyle w:val="Compact"/>
      </w:pPr>
      <w:r>
        <w:t xml:space="preserve">18-25% revenue growth in corporate segment via targeted outreach to Abu Dhabi's top 50 multinational firms</w:t>
      </w:r>
    </w:p>
    <w:p>
      <w:pPr>
        <w:numPr>
          <w:ilvl w:val="0"/>
          <w:numId w:val="1004"/>
        </w:numPr>
        <w:pStyle w:val="Compact"/>
      </w:pPr>
      <w:r>
        <w:t xml:space="preserve">New revenue from government tenders: AED 4.3M (Q4) through SEHA's updated procurement guidelines</w:t>
      </w:r>
    </w:p>
    <w:p>
      <w:pPr>
        <w:pStyle w:val="FirstParagraph"/>
      </w:pPr>
      <w:r>
        <w:rPr>
          <w:bCs/>
          <w:b/>
        </w:rPr>
        <w:t xml:space="preserve">Recommendations:</w:t>
      </w:r>
    </w:p>
    <w:p>
      <w:pPr>
        <w:numPr>
          <w:ilvl w:val="0"/>
          <w:numId w:val="1005"/>
        </w:numPr>
        <w:pStyle w:val="Compact"/>
      </w:pPr>
      <w:r>
        <w:rPr>
          <w:iCs/>
          <w:i/>
        </w:rPr>
        <w:t xml:space="preserve">Recruit &amp; Train Local Talent:</w:t>
      </w:r>
      <w:r>
        <w:t xml:space="preserve"> </w:t>
      </w:r>
      <w:r>
        <w:t xml:space="preserve">Partner with Khalifa University to launch dietitian certification programs, addressing labor shortages while building community trust.</w:t>
      </w:r>
    </w:p>
    <w:p>
      <w:pPr>
        <w:numPr>
          <w:ilvl w:val="0"/>
          <w:numId w:val="1005"/>
        </w:numPr>
        <w:pStyle w:val="Compact"/>
      </w:pPr>
      <w:r>
        <w:rPr>
          <w:iCs/>
          <w:i/>
        </w:rPr>
        <w:t xml:space="preserve">Develop Abu Dhabi-Specific Digital Platform:</w:t>
      </w:r>
      <w:r>
        <w:t xml:space="preserve"> </w:t>
      </w:r>
      <w:r>
        <w:t xml:space="preserve">Create an app with Arabic/English interface featuring local recipes and SEHA compliance tracking – expected to reduce client acquisition costs by 27%.</w:t>
      </w:r>
    </w:p>
    <w:p>
      <w:pPr>
        <w:numPr>
          <w:ilvl w:val="0"/>
          <w:numId w:val="1005"/>
        </w:numPr>
        <w:pStyle w:val="Compact"/>
      </w:pPr>
      <w:r>
        <w:rPr>
          <w:iCs/>
          <w:i/>
        </w:rPr>
        <w:t xml:space="preserve">Leverage Expo 2023 Legacy:</w:t>
      </w:r>
      <w:r>
        <w:t xml:space="preserve"> </w:t>
      </w:r>
      <w:r>
        <w:t xml:space="preserve">Target international medical delegations visiting Abu Dhabi post-Expo for B2B sales opportunities in Gulf Cooperation Council (GCC) markets.</w:t>
      </w:r>
    </w:p>
    <w:bookmarkEnd w:id="26"/>
    <w:bookmarkStart w:id="27" w:name="viii.-conclusion"/>
    <w:p>
      <w:pPr>
        <w:pStyle w:val="Heading3"/>
      </w:pPr>
      <w:r>
        <w:t xml:space="preserve">VIII. Conclusion</w:t>
      </w:r>
    </w:p>
    <w:p>
      <w:pPr>
        <w:pStyle w:val="FirstParagraph"/>
      </w:pPr>
      <w:r>
        <w:t xml:space="preserve">The dietitian services market in Abu Dhabi represents a high-growth commercial frontier aligned with the United Arab Emirates' national health vision. Our sales performance demonstrates that specialized nutrition expertise is no longer optional but a strategic healthcare imperative for Abu Dhabi's public and private sectors. By capitalizing on regulatory tailwinds, cultural relevance, and untapped corporate demand, this department is positioned to capture 35% market share in Abu Dhabi by 2025 – generating over AED 80 million annually in sustainable revenue. We recommend full allocation of Q4 budget toward talent development and digital infrastructure to secure this growth trajectory.</w:t>
      </w:r>
    </w:p>
    <w:p>
      <w:pPr>
        <w:pStyle w:val="BodyText"/>
      </w:pPr>
      <w:r>
        <w:rPr>
          <w:bCs/>
          <w:b/>
        </w:rPr>
        <w:t xml:space="preserve">Prepared By:</w:t>
      </w:r>
      <w:r>
        <w:t xml:space="preserve"> </w:t>
      </w:r>
      <w:r>
        <w:t xml:space="preserve">Strategic Sales Analytics Division, Nutrition Solutions Middle East</w:t>
      </w:r>
    </w:p>
    <w:p>
      <w:pPr>
        <w:pStyle w:val="BodyText"/>
      </w:pPr>
      <w:r>
        <w:rPr>
          <w:bCs/>
          <w:b/>
        </w:rPr>
        <w:t xml:space="preserve">Contact:</w:t>
      </w:r>
      <w:r>
        <w:t xml:space="preserve"> </w:t>
      </w:r>
      <w:r>
        <w:t xml:space="preserve">sales.analytics@nsmearab.com | +971 2 567 8900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Dietitian Services in Abu Dhabi, United Arab Emirates</dc:title>
  <dc:creator/>
  <dc:language>en</dc:language>
  <cp:keywords/>
  <dcterms:created xsi:type="dcterms:W3CDTF">2026-07-23T22:55:10Z</dcterms:created>
  <dcterms:modified xsi:type="dcterms:W3CDTF">2026-07-23T22:55:10Z</dcterms:modified>
</cp:coreProperties>
</file>

<file path=docProps/custom.xml><?xml version="1.0" encoding="utf-8"?>
<Properties xmlns="http://schemas.openxmlformats.org/officeDocument/2006/custom-properties" xmlns:vt="http://schemas.openxmlformats.org/officeDocument/2006/docPropsVTypes"/>
</file>