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9ca2ccc14293205da5b5045aa402ed2a80e9568"/>
    <w:p>
      <w:pPr>
        <w:pStyle w:val="Heading1"/>
      </w:pPr>
      <w:r>
        <w:t xml:space="preserve">Sales Report: Growth and Market Analysis of Dietitian Services in United Kingdom Birmingham</w:t>
      </w:r>
    </w:p>
    <w:p>
      <w:pPr>
        <w:pStyle w:val="FirstParagraph"/>
      </w:pPr>
      <w:r>
        <w:rPr>
          <w:bCs/>
          <w:b/>
        </w:rPr>
        <w:t xml:space="preserve">Prepared For:</w:t>
      </w:r>
      <w:r>
        <w:t xml:space="preserve"> </w:t>
      </w:r>
      <w:r>
        <w:t xml:space="preserve">NutriHealth Solutions Management Team</w:t>
      </w:r>
      <w:r>
        <w:br/>
      </w:r>
      <w:r>
        <w:rPr>
          <w:bCs/>
          <w:b/>
        </w:rPr>
        <w:t xml:space="preserve">Date:</w:t>
      </w:r>
      <w:r>
        <w:t xml:space="preserve"> </w:t>
      </w:r>
      <w:r>
        <w:t xml:space="preserve">October 26, 2023</w:t>
      </w:r>
      <w:r>
        <w:br/>
      </w:r>
      <w:r>
        <w:rPr>
          <w:bCs/>
          <w:b/>
        </w:rPr>
        <w:t xml:space="preserve">Location:</w:t>
      </w:r>
      <w:r>
        <w:t xml:space="preserve"> </w:t>
      </w:r>
      <w:r>
        <w:t xml:space="preserve">United Kingdom Birmingham</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Dietitian services across United Kingdom Birmingham during Q1–Q3 2023. The report confirms a 34% year-over-year increase in service uptake, driven by rising public health awareness, NHS partnerships, and private-sector demand. As Birmingham’s population continues to grow (reaching 1.2 million in the West Midlands region), Dietitian services have emerged as a critical component of integrated healthcare solutions. This document serves as both an operational sales analysis and a strategic roadmap for scaling Dietitian service delivery within Birmingham’s unique socio-economic landscape.</w:t>
      </w:r>
    </w:p>
    <w:bookmarkEnd w:id="20"/>
    <w:bookmarkStart w:id="21" w:name="market-context-united-kingdom-birmingham"/>
    <w:p>
      <w:pPr>
        <w:pStyle w:val="Heading2"/>
      </w:pPr>
      <w:r>
        <w:t xml:space="preserve">Market Context: United Kingdom Birmingham</w:t>
      </w:r>
    </w:p>
    <w:p>
      <w:pPr>
        <w:pStyle w:val="FirstParagraph"/>
      </w:pPr>
      <w:r>
        <w:t xml:space="preserve">Birmingham’s demographic profile presents distinct opportunities for Dietitian services. With 18% of residents living in areas classified as "high deprivation" (Office for National Statistics, 2023), there is an urgent need for preventative nutrition programs. The city’s obesity rate (31.5%) significantly exceeds the UK average (28%), creating a high-demand market for specialized Dietitian interventions. Key drivers include:</w:t>
      </w:r>
    </w:p>
    <w:p>
      <w:pPr>
        <w:numPr>
          <w:ilvl w:val="0"/>
          <w:numId w:val="1001"/>
        </w:numPr>
        <w:pStyle w:val="Compact"/>
      </w:pPr>
      <w:r>
        <w:t xml:space="preserve">Partnerships with Birmingham City Council’s Healthy Birmingham Programme</w:t>
      </w:r>
    </w:p>
    <w:p>
      <w:pPr>
        <w:numPr>
          <w:ilvl w:val="0"/>
          <w:numId w:val="1001"/>
        </w:numPr>
        <w:pStyle w:val="Compact"/>
      </w:pPr>
      <w:r>
        <w:t xml:space="preserve">NHS England Trusts like Sandwell &amp; West Birmingham Hospitals NHS Trust increasing referral pathways</w:t>
      </w:r>
    </w:p>
    <w:p>
      <w:pPr>
        <w:numPr>
          <w:ilvl w:val="0"/>
          <w:numId w:val="1001"/>
        </w:numPr>
        <w:pStyle w:val="Compact"/>
      </w:pPr>
      <w:r>
        <w:t xml:space="preserve">Growth in corporate wellness contracts (e.g., at the new Centenary Square business hub)</w:t>
      </w:r>
    </w:p>
    <w:bookmarkEnd w:id="21"/>
    <w:bookmarkStart w:id="25" w:name="X024a6fea23ecf20518ea8abb41d450390e08919"/>
    <w:p>
      <w:pPr>
        <w:pStyle w:val="Heading2"/>
      </w:pPr>
      <w:r>
        <w:t xml:space="preserve">Sales Performance Analysis: Dietitian Service Uptake</w:t>
      </w:r>
    </w:p>
    <w:p>
      <w:pPr>
        <w:pStyle w:val="FirstParagraph"/>
      </w:pPr>
      <w:r>
        <w:t xml:space="preserve">Our sales data for Birmingham reveals three dominant service segments:</w:t>
      </w:r>
    </w:p>
    <w:bookmarkStart w:id="22" w:name="nhs-commissioned-services"/>
    <w:p>
      <w:pPr>
        <w:pStyle w:val="Heading3"/>
      </w:pPr>
      <w:r>
        <w:t xml:space="preserve">1. NHS Commissioned Services</w:t>
      </w:r>
    </w:p>
    <w:p>
      <w:pPr>
        <w:pStyle w:val="FirstParagraph"/>
      </w:pPr>
      <w:r>
        <w:t xml:space="preserve">This segment accounted for 58% of total revenue (£412,000 in Q3 2023). Key contracts include:</w:t>
      </w:r>
    </w:p>
    <w:p>
      <w:pPr>
        <w:numPr>
          <w:ilvl w:val="0"/>
          <w:numId w:val="1002"/>
        </w:numPr>
        <w:pStyle w:val="Compact"/>
      </w:pPr>
      <w:r>
        <w:t xml:space="preserve">Referral pathways with Birmingham Women’s Hospital (diabetes management)</w:t>
      </w:r>
    </w:p>
    <w:p>
      <w:pPr>
        <w:numPr>
          <w:ilvl w:val="0"/>
          <w:numId w:val="1002"/>
        </w:numPr>
        <w:pStyle w:val="Compact"/>
      </w:pPr>
      <w:r>
        <w:t xml:space="preserve">Childhood obesity pilot at Edgbaston Primary Care Network</w:t>
      </w:r>
    </w:p>
    <w:p>
      <w:pPr>
        <w:numPr>
          <w:ilvl w:val="0"/>
          <w:numId w:val="1002"/>
        </w:numPr>
        <w:pStyle w:val="Compact"/>
      </w:pPr>
      <w:r>
        <w:t xml:space="preserve">Chronic kidney disease support program with University Hospitals Birmingham</w:t>
      </w:r>
    </w:p>
    <w:bookmarkEnd w:id="22"/>
    <w:bookmarkStart w:id="23" w:name="private-client-services"/>
    <w:p>
      <w:pPr>
        <w:pStyle w:val="Heading3"/>
      </w:pPr>
      <w:r>
        <w:t xml:space="preserve">2. Private Client Services</w:t>
      </w:r>
    </w:p>
    <w:p>
      <w:pPr>
        <w:pStyle w:val="FirstParagraph"/>
      </w:pPr>
      <w:r>
        <w:t xml:space="preserve">Growth of 41% YoY (total revenue: £287,000). High-value clients include:</w:t>
      </w:r>
    </w:p>
    <w:p>
      <w:pPr>
        <w:numPr>
          <w:ilvl w:val="0"/>
          <w:numId w:val="1003"/>
        </w:numPr>
        <w:pStyle w:val="Compact"/>
      </w:pPr>
      <w:r>
        <w:t xml:space="preserve">Corporate packages for companies in Birmingham Innovation District (e.g., JCB, IBM UK)</w:t>
      </w:r>
    </w:p>
    <w:p>
      <w:pPr>
        <w:numPr>
          <w:ilvl w:val="0"/>
          <w:numId w:val="1003"/>
        </w:numPr>
        <w:pStyle w:val="Compact"/>
      </w:pPr>
      <w:r>
        <w:t xml:space="preserve">Private consultations at premium clinics in Edgbaston and Moseley</w:t>
      </w:r>
    </w:p>
    <w:p>
      <w:pPr>
        <w:numPr>
          <w:ilvl w:val="0"/>
          <w:numId w:val="1003"/>
        </w:numPr>
        <w:pStyle w:val="Compact"/>
      </w:pPr>
      <w:r>
        <w:t xml:space="preserve">Digital nutrition platforms serving Birmingham residents (17% of new clients)</w:t>
      </w:r>
    </w:p>
    <w:bookmarkEnd w:id="23"/>
    <w:bookmarkStart w:id="24" w:name="community-health-initiatives"/>
    <w:p>
      <w:pPr>
        <w:pStyle w:val="Heading3"/>
      </w:pPr>
      <w:r>
        <w:t xml:space="preserve">3. Community Health Initiatives</w:t>
      </w:r>
    </w:p>
    <w:p>
      <w:pPr>
        <w:pStyle w:val="FirstParagraph"/>
      </w:pPr>
      <w:r>
        <w:t xml:space="preserve">Supported by Birmingham City Council grants, these programs reached 8,400 residents across 22 locations (including Sparkbrook and Small Heath). Key outcomes:</w:t>
      </w:r>
    </w:p>
    <w:p>
      <w:pPr>
        <w:numPr>
          <w:ilvl w:val="0"/>
          <w:numId w:val="1004"/>
        </w:numPr>
        <w:pStyle w:val="Compact"/>
      </w:pPr>
      <w:r>
        <w:t xml:space="preserve">15% reduction in preventable diet-related hospital visits in participating wards</w:t>
      </w:r>
    </w:p>
    <w:p>
      <w:pPr>
        <w:numPr>
          <w:ilvl w:val="0"/>
          <w:numId w:val="1004"/>
        </w:numPr>
        <w:pStyle w:val="Compact"/>
      </w:pPr>
      <w:r>
        <w:t xml:space="preserve">76% client retention rate for community-based Dietitian support</w:t>
      </w:r>
    </w:p>
    <w:p>
      <w:pPr>
        <w:numPr>
          <w:ilvl w:val="0"/>
          <w:numId w:val="1004"/>
        </w:numPr>
        <w:pStyle w:val="Compact"/>
      </w:pPr>
      <w:r>
        <w:t xml:space="preserve">Strong ROI for council partnerships (£1.80 return per £1 invested)</w:t>
      </w:r>
    </w:p>
    <w:bookmarkEnd w:id="24"/>
    <w:bookmarkEnd w:id="25"/>
    <w:bookmarkStart w:id="26" w:name="key-sales-metrics-birmingham-focus"/>
    <w:p>
      <w:pPr>
        <w:pStyle w:val="Heading2"/>
      </w:pPr>
      <w:r>
        <w:t xml:space="preserve">Key Sales Metrics (Birmingham Focus)</w:t>
      </w:r>
    </w:p>
    <w:p>
      <w:pPr>
        <w:pStyle w:val="FirstParagraph"/>
      </w:pPr>
      <w:r>
        <w:t xml:space="preserve">KPI</w:t>
      </w:r>
    </w:p>
    <w:p>
      <w:pPr>
        <w:pStyle w:val="BodyText"/>
      </w:pPr>
      <w:r>
        <w:t xml:space="preserve">Q3 2022</w:t>
      </w:r>
    </w:p>
    <w:p>
      <w:pPr>
        <w:pStyle w:val="BodyText"/>
      </w:pPr>
      <w:r>
        <w:t xml:space="preserve">Q3 2023</w:t>
      </w:r>
    </w:p>
    <w:p>
      <w:pPr>
        <w:pStyle w:val="BodyText"/>
      </w:pPr>
      <w:r>
        <w:t xml:space="preserve">YoY Change</w:t>
      </w:r>
    </w:p>
    <w:p>
      <w:pPr>
        <w:pStyle w:val="BodyText"/>
      </w:pPr>
      <w:r>
        <w:t xml:space="preserve">Total Client Sessions (Birmingham)</w:t>
      </w:r>
    </w:p>
    <w:p>
      <w:pPr>
        <w:pStyle w:val="BodyText"/>
      </w:pPr>
      <w:r>
        <w:t xml:space="preserve">1,850</w:t>
      </w:r>
    </w:p>
    <w:p>
      <w:pPr>
        <w:pStyle w:val="BodyText"/>
      </w:pPr>
      <w:r>
        <w:t xml:space="preserve">2,475</w:t>
      </w:r>
    </w:p>
    <w:p>
      <w:pPr>
        <w:pStyle w:val="BodyText"/>
      </w:pPr>
      <w:r>
        <w:t xml:space="preserve">+34%</w:t>
      </w:r>
    </w:p>
    <w:p>
      <w:pPr>
        <w:pStyle w:val="BodyText"/>
      </w:pPr>
      <w:r>
        <w:t xml:space="preserve">NHS Contract Revenue</w:t>
      </w:r>
    </w:p>
    <w:p>
      <w:pPr>
        <w:pStyle w:val="BodyText"/>
      </w:pPr>
      <w:r>
        <w:t xml:space="preserve">£298,000</w:t>
      </w:r>
    </w:p>
    <w:p>
      <w:pPr>
        <w:pStyle w:val="BodyText"/>
      </w:pPr>
      <w:r>
        <w:t xml:space="preserve">£412,000</w:t>
      </w:r>
      <w:hyperlink w:anchor="Xa39a3ee5e6b4b0d3255bfef95601890afd80709">
        <w:r>
          <w:rPr>
            <w:rStyle w:val="Hyperlink"/>
          </w:rPr>
          <w:t xml:space="preserve">+38%</w:t>
        </w:r>
      </w:hyperlink>
    </w:p>
    <w:p>
      <w:pPr>
        <w:pStyle w:val="BodyText"/>
      </w:pPr>
      <w:r>
        <w:t xml:space="preserve">Private Client Acquisition Cost</w:t>
      </w:r>
    </w:p>
    <w:p>
      <w:pPr>
        <w:pStyle w:val="BodyText"/>
      </w:pPr>
      <w:r>
        <w:t xml:space="preserve">£145/lead</w:t>
      </w:r>
    </w:p>
    <w:p>
      <w:pPr>
        <w:pStyle w:val="BodyText"/>
      </w:pPr>
      <w:r>
        <w:t xml:space="preserve">£97/lead</w:t>
      </w:r>
    </w:p>
    <w:p>
      <w:pPr>
        <w:pStyle w:val="BodyText"/>
      </w:pPr>
      <w:r>
        <w:t xml:space="preserve">-33%</w:t>
      </w:r>
    </w:p>
    <w:p>
      <w:pPr>
        <w:pStyle w:val="BodyText"/>
      </w:pPr>
      <w:r>
        <w:t xml:space="preserve">Cross-Sell Rate (Dietitian + Fitness)</w:t>
      </w:r>
    </w:p>
    <w:p>
      <w:pPr>
        <w:pStyle w:val="BodyText"/>
      </w:pPr>
      <w:r>
        <w:t xml:space="preserve">22%</w:t>
      </w:r>
      <w:hyperlink w:anchor="Xa39a3ee5e6b4b0d3255bfef95601890afd80709">
        <w:r>
          <w:rPr>
            <w:rStyle w:val="Hyperlink"/>
          </w:rPr>
          <w:t xml:space="preserve">37%</w:t>
        </w:r>
      </w:hyperlink>
    </w:p>
    <w:bookmarkEnd w:id="26"/>
    <w:bookmarkStart w:id="27" w:name="Xe89843583dca3a4c5effe57affa17e776ae6005"/>
    <w:p>
      <w:pPr>
        <w:pStyle w:val="Heading2"/>
      </w:pPr>
      <w:r>
        <w:t xml:space="preserve">Challenges in the United Kingdom Birmingham Market</w:t>
      </w:r>
    </w:p>
    <w:p>
      <w:pPr>
        <w:pStyle w:val="FirstParagraph"/>
      </w:pPr>
      <w:r>
        <w:t xml:space="preserve">Despite strong growth, three challenges require strategic attention:</w:t>
      </w:r>
    </w:p>
    <w:p>
      <w:pPr>
        <w:numPr>
          <w:ilvl w:val="0"/>
          <w:numId w:val="1005"/>
        </w:numPr>
        <w:pStyle w:val="Compact"/>
      </w:pPr>
      <w:r>
        <w:rPr>
          <w:bCs/>
          <w:b/>
        </w:rPr>
        <w:t xml:space="preserve">Staff Retention:</w:t>
      </w:r>
      <w:r>
        <w:t xml:space="preserve"> </w:t>
      </w:r>
      <w:r>
        <w:t xml:space="preserve">28% vacancy rate among Dietitians across Birmingham due to competition from London-based firms. Solution: Implement local apprenticeship programs with Birmingham City University.</w:t>
      </w:r>
    </w:p>
    <w:p>
      <w:pPr>
        <w:numPr>
          <w:ilvl w:val="0"/>
          <w:numId w:val="1005"/>
        </w:numPr>
        <w:pStyle w:val="Compact"/>
      </w:pPr>
      <w:r>
        <w:rPr>
          <w:bCs/>
          <w:b/>
        </w:rPr>
        <w:t xml:space="preserve">Referral Pipeline Gaps:</w:t>
      </w:r>
      <w:r>
        <w:t xml:space="preserve"> </w:t>
      </w:r>
      <w:r>
        <w:t xml:space="preserve">Only 15% of primary care clinics in Birmingham have formal Dietitian referral pathways (vs. 40% in Bristol). Action: Partner with BCC to mandate referral protocols by Q2 2024.</w:t>
      </w:r>
    </w:p>
    <w:p>
      <w:pPr>
        <w:numPr>
          <w:ilvl w:val="0"/>
          <w:numId w:val="1005"/>
        </w:numPr>
        <w:pStyle w:val="Compact"/>
      </w:pPr>
      <w:r>
        <w:rPr>
          <w:bCs/>
          <w:b/>
        </w:rPr>
        <w:t xml:space="preserve">Cultural Accessibility:</w:t>
      </w:r>
      <w:r>
        <w:t xml:space="preserve"> </w:t>
      </w:r>
      <w:r>
        <w:t xml:space="preserve">Language barriers affecting non-English-speaking communities (16% of Birmingham residents). Initiative: Hire bilingual Dietitians for areas like Small Heath and Sparkbrook.</w:t>
      </w:r>
    </w:p>
    <w:bookmarkEnd w:id="27"/>
    <w:bookmarkStart w:id="28" w:name="X25fa39d710fdfbee91467caa8270f2b57d06b3b"/>
    <w:p>
      <w:pPr>
        <w:pStyle w:val="Heading2"/>
      </w:pPr>
      <w:r>
        <w:t xml:space="preserve">Strategic Recommendations for Birmingham Operations</w:t>
      </w:r>
    </w:p>
    <w:p>
      <w:pPr>
        <w:pStyle w:val="FirstParagraph"/>
      </w:pPr>
      <w:r>
        <w:t xml:space="preserve">To capitalize on the expanding market, we recommend:</w:t>
      </w:r>
    </w:p>
    <w:p>
      <w:pPr>
        <w:numPr>
          <w:ilvl w:val="0"/>
          <w:numId w:val="1006"/>
        </w:numPr>
        <w:pStyle w:val="Compact"/>
      </w:pPr>
      <w:r>
        <w:rPr>
          <w:bCs/>
          <w:b/>
        </w:rPr>
        <w:t xml:space="preserve">Expand Community Hubs:</w:t>
      </w:r>
      <w:r>
        <w:t xml:space="preserve"> </w:t>
      </w:r>
      <w:r>
        <w:t xml:space="preserve">Establish two new satellite clinics in high-need areas (Selly Oak and Aston) by Q1 2024, targeting council-funded health initiatives.</w:t>
      </w:r>
    </w:p>
    <w:p>
      <w:pPr>
        <w:numPr>
          <w:ilvl w:val="0"/>
          <w:numId w:val="1006"/>
        </w:numPr>
        <w:pStyle w:val="Compact"/>
      </w:pPr>
      <w:r>
        <w:rPr>
          <w:bCs/>
          <w:b/>
        </w:rPr>
        <w:t xml:space="preserve">NHS Partnership Deepening:</w:t>
      </w:r>
      <w:r>
        <w:t xml:space="preserve"> </w:t>
      </w:r>
      <w:r>
        <w:t xml:space="preserve">Negotiate a city-wide referral contract covering all 18 Birmingham NHS Trusts to secure long-term revenue stability.</w:t>
      </w:r>
    </w:p>
    <w:p>
      <w:pPr>
        <w:numPr>
          <w:ilvl w:val="0"/>
          <w:numId w:val="1006"/>
        </w:numPr>
        <w:pStyle w:val="Compact"/>
      </w:pPr>
      <w:r>
        <w:rPr>
          <w:bCs/>
          <w:b/>
        </w:rPr>
        <w:t xml:space="preserve">Digital Sales Acceleration:</w:t>
      </w:r>
      <w:r>
        <w:t xml:space="preserve"> </w:t>
      </w:r>
      <w:r>
        <w:t xml:space="preserve">Launch a Birmingham-specific telehealth platform with integrated NHS Digital compliance, targeting 30% of new clients by end-2024.</w:t>
      </w:r>
    </w:p>
    <w:p>
      <w:pPr>
        <w:numPr>
          <w:ilvl w:val="0"/>
          <w:numId w:val="1006"/>
        </w:numPr>
        <w:pStyle w:val="Compact"/>
      </w:pPr>
      <w:r>
        <w:rPr>
          <w:bCs/>
          <w:b/>
        </w:rPr>
        <w:t xml:space="preserve">Corporate Tiering:</w:t>
      </w:r>
      <w:r>
        <w:t xml:space="preserve"> </w:t>
      </w:r>
      <w:r>
        <w:t xml:space="preserve">Develop tiered pricing for businesses (e.g., "Birmingham Health Pass" for SMEs) based on employee count and industry sector.</w:t>
      </w:r>
    </w:p>
    <w:bookmarkEnd w:id="28"/>
    <w:bookmarkStart w:id="29" w:name="Xb756a8256d9f7981d16e482f8b25496f4bd17a7"/>
    <w:p>
      <w:pPr>
        <w:pStyle w:val="Heading2"/>
      </w:pPr>
      <w:r>
        <w:t xml:space="preserve">Conclusion: The Birmingham Dietitian Market Outlook</w:t>
      </w:r>
    </w:p>
    <w:p>
      <w:pPr>
        <w:pStyle w:val="FirstParagraph"/>
      </w:pPr>
      <w:r>
        <w:t xml:space="preserve">The United Kingdom Birmingham market presents exceptional growth potential for Dietitian services, with no signs of saturation. Our Sales Report confirms that strategic positioning within the city’s healthcare ecosystem—leveraging NHS partnerships, community initiatives, and private-sector demand—will drive sustainable revenue growth. With obesity rates remaining high and public health funding increasing (Birmingham City Council allocated £45M for 2023–2024 wellness programs), Dietitian services are not merely a commercial opportunity but a community necessity. We project 38% revenue growth in Birmingham by Q4 2024, positioning NutriHealth as the region’s leading Dietitian service provider.</w:t>
      </w:r>
    </w:p>
    <w:p>
      <w:pPr>
        <w:pStyle w:val="BodyText"/>
      </w:pPr>
      <w:r>
        <w:rPr>
          <w:bCs/>
          <w:b/>
        </w:rPr>
        <w:t xml:space="preserve">Appendix: Birmingham-Specific Success Metrics</w:t>
      </w:r>
    </w:p>
    <w:p>
      <w:pPr>
        <w:numPr>
          <w:ilvl w:val="0"/>
          <w:numId w:val="1007"/>
        </w:numPr>
        <w:pStyle w:val="Compact"/>
      </w:pPr>
      <w:r>
        <w:t xml:space="preserve">Top Performing Clinic: Edgbaston Health Centre (Revenue growth: +47% YoY)</w:t>
      </w:r>
    </w:p>
    <w:p>
      <w:pPr>
        <w:numPr>
          <w:ilvl w:val="0"/>
          <w:numId w:val="1007"/>
        </w:numPr>
        <w:pStyle w:val="Compact"/>
      </w:pPr>
      <w:r>
        <w:t xml:space="preserve">Most-Requested Service: Diabetes management (32% of all NHS referrals)</w:t>
      </w:r>
    </w:p>
    <w:p>
      <w:pPr>
        <w:numPr>
          <w:ilvl w:val="0"/>
          <w:numId w:val="1007"/>
        </w:numPr>
        <w:pStyle w:val="Compact"/>
      </w:pPr>
      <w:r>
        <w:t xml:space="preserve">Client Satisfaction Score: 9.2/10 (Birmingham average vs. UK national average 8.6/10)</w:t>
      </w:r>
    </w:p>
    <w:p>
      <w:pPr>
        <w:pStyle w:val="FirstParagraph"/>
      </w:pPr>
      <w:r>
        <w:rPr>
          <w:iCs/>
          <w:i/>
        </w:rPr>
        <w:t xml:space="preserve">This Sales Report is strictly for internal use within United Kingdom Birmingham operations and complies with NHS Data Protection Standards (GDPR Article 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United Kingdom Birmingham</dc:title>
  <dc:creator/>
  <dc:language>en</dc:language>
  <cp:keywords/>
  <dcterms:created xsi:type="dcterms:W3CDTF">2026-06-03T04:22:24Z</dcterms:created>
  <dcterms:modified xsi:type="dcterms:W3CDTF">2026-06-03T04:22:24Z</dcterms:modified>
</cp:coreProperties>
</file>

<file path=docProps/custom.xml><?xml version="1.0" encoding="utf-8"?>
<Properties xmlns="http://schemas.openxmlformats.org/officeDocument/2006/custom-properties" xmlns:vt="http://schemas.openxmlformats.org/officeDocument/2006/docPropsVTypes"/>
</file>