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aba44e4fdd7799b400a030e268e65abd31f2c8"/>
    <w:p>
      <w:pPr>
        <w:pStyle w:val="Heading1"/>
      </w:pPr>
      <w:r>
        <w:t xml:space="preserve">SALES REPORT: DIETITIAN SERVICES IN UNITED KINGDOM LONDON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our Dietitian service offerings within the United Kingdom London market. As demand for specialized nutritional care continues to surge in London's health-conscious population, this report demonstrates how our dietitian services have become a critical revenue stream. The analysis confirms that positioning as premium yet accessible nutrition experts has driven exceptional growth in the UK capital, with sales increasing by 28% year-over-year and exceeding target projections by 15%. This document provides actionable insights for scaling our Dietitian service portfolio across United Kingdom London while maintaining clinical excellence.</w:t>
      </w:r>
    </w:p>
    <w:bookmarkEnd w:id="20"/>
    <w:bookmarkStart w:id="21" w:name="X854ca078668f8b6d0ac16d589e5e2e499045b6b"/>
    <w:p>
      <w:pPr>
        <w:pStyle w:val="Heading2"/>
      </w:pPr>
      <w:r>
        <w:t xml:space="preserve">Market Analysis: London's Nutrition Landscape</w:t>
      </w:r>
    </w:p>
    <w:p>
      <w:pPr>
        <w:pStyle w:val="FirstParagraph"/>
      </w:pPr>
      <w:r>
        <w:t xml:space="preserve">London's healthcare market presents unique opportunities for dietitian services. With 8.7 million residents and the highest concentration of private healthcare facilities in the United Kingdom, demand for personalized nutrition planning has reached unprecedented levels. According to NHS Digital (2023), 63% of Londoners now seek professional dietary advice annually – a 34% increase since 2019 – driven by rising obesity rates (28.7% in London vs. 25.6% national average) and growing interest in preventative care.</w:t>
      </w:r>
    </w:p>
    <w:p>
      <w:pPr>
        <w:pStyle w:val="BodyText"/>
      </w:pPr>
      <w:r>
        <w:t xml:space="preserve">Our market analysis confirms that London consumers prioritize three key factors when selecting Dietitian services: clinical accreditation (92%), personalized meal planning (87%), and integration with primary healthcare providers (79%). This aligns perfectly with our service model, which features BDA-registered dietitians offering NHS-compliant nutritional assessments. Notably, 64% of our London clients are corporate wellness program participants – a segment we've strategically expanded through partnerships with major financial institutions in the City of London.</w:t>
      </w:r>
    </w:p>
    <w:bookmarkEnd w:id="21"/>
    <w:bookmarkStart w:id="22" w:name="sales-performance-q3-2023-highlights"/>
    <w:p>
      <w:pPr>
        <w:pStyle w:val="Heading2"/>
      </w:pPr>
      <w:r>
        <w:t xml:space="preserve">Sales Performance: Q3 2023 Highlights</w:t>
      </w:r>
    </w:p>
    <w:p>
      <w:pPr>
        <w:pStyle w:val="FirstParagraph"/>
      </w:pPr>
      <w:r>
        <w:t xml:space="preserve">Our Dietitian service revenue in United Kingdom London reached £1.87 million during Q3 2023, marking a 19% quarterly increase and a remarkable 45% growth from the same period last year. Key drivers include:</w:t>
      </w:r>
    </w:p>
    <w:p>
      <w:pPr>
        <w:numPr>
          <w:ilvl w:val="0"/>
          <w:numId w:val="1001"/>
        </w:numPr>
        <w:pStyle w:val="Compact"/>
      </w:pPr>
      <w:r>
        <w:rPr>
          <w:bCs/>
          <w:b/>
        </w:rPr>
        <w:t xml:space="preserve">Corporate Client Acquisition:</w:t>
      </w:r>
      <w:r>
        <w:t xml:space="preserve"> </w:t>
      </w:r>
      <w:r>
        <w:t xml:space="preserve">Secured contracts with 7 new City of London firms (including three FTSE 100 companies), generating £425,000 in recurring revenue</w:t>
      </w:r>
    </w:p>
    <w:p>
      <w:pPr>
        <w:numPr>
          <w:ilvl w:val="0"/>
          <w:numId w:val="1001"/>
        </w:numPr>
        <w:pStyle w:val="Compact"/>
      </w:pPr>
      <w:r>
        <w:rPr>
          <w:bCs/>
          <w:b/>
        </w:rPr>
        <w:t xml:space="preserve">Private Patient Growth:</w:t>
      </w:r>
      <w:r>
        <w:t xml:space="preserve"> </w:t>
      </w:r>
      <w:r>
        <w:t xml:space="preserve">37% increase in private consultations (1,286 sessions vs. 935 Q2), driven by targeted social media campaigns highlighting NHS-compliant care</w:t>
      </w:r>
    </w:p>
    <w:p>
      <w:pPr>
        <w:numPr>
          <w:ilvl w:val="0"/>
          <w:numId w:val="1001"/>
        </w:numPr>
        <w:pStyle w:val="Compact"/>
      </w:pPr>
      <w:r>
        <w:rPr>
          <w:bCs/>
          <w:b/>
        </w:rPr>
        <w:t xml:space="preserve">Telehealth Expansion:</w:t>
      </w:r>
      <w:r>
        <w:t xml:space="preserve"> </w:t>
      </w:r>
      <w:r>
        <w:t xml:space="preserve">Launched London-specific virtual dietitian services, capturing 42% of new clients who value time efficiency in the capital's fast-paced environment</w:t>
      </w:r>
    </w:p>
    <w:p>
      <w:pPr>
        <w:pStyle w:val="FirstParagraph"/>
      </w:pPr>
      <w:r>
        <w:t xml:space="preserve">The sales funnel shows exceptional conversion rates: 73% of initial consultations result in package purchases (vs. national average of 58%). This is attributed to our London-specific service customization, including culturally tailored meal plans for the city's diverse population (30+ ethnicities represented in client base).</w:t>
      </w:r>
    </w:p>
    <w:bookmarkEnd w:id="22"/>
    <w:bookmarkStart w:id="23" w:name="challenges-competitive-landscape"/>
    <w:p>
      <w:pPr>
        <w:pStyle w:val="Heading2"/>
      </w:pPr>
      <w:r>
        <w:t xml:space="preserve">Challenges &amp; Competitive Landscape</w:t>
      </w:r>
    </w:p>
    <w:p>
      <w:pPr>
        <w:pStyle w:val="FirstParagraph"/>
      </w:pPr>
      <w:r>
        <w:t xml:space="preserve">Despite strong growth, three challenges require strategic intervention:</w:t>
      </w:r>
    </w:p>
    <w:p>
      <w:pPr>
        <w:numPr>
          <w:ilvl w:val="0"/>
          <w:numId w:val="1002"/>
        </w:numPr>
        <w:pStyle w:val="Compact"/>
      </w:pPr>
      <w:r>
        <w:rPr>
          <w:bCs/>
          <w:b/>
        </w:rPr>
        <w:t xml:space="preserve">Regulatory Complexity:</w:t>
      </w:r>
      <w:r>
        <w:t xml:space="preserve"> </w:t>
      </w:r>
      <w:r>
        <w:t xml:space="preserve">Navigating differing NHS commissioning rules across London boroughs requires dedicated compliance officers. We've implemented a borough-specific training module for our dietitians, reducing administrative errors by 33%.</w:t>
      </w:r>
    </w:p>
    <w:p>
      <w:pPr>
        <w:numPr>
          <w:ilvl w:val="0"/>
          <w:numId w:val="1002"/>
        </w:numPr>
        <w:pStyle w:val="Compact"/>
      </w:pPr>
      <w:r>
        <w:rPr>
          <w:bCs/>
          <w:b/>
        </w:rPr>
        <w:t xml:space="preserve">Premium Positioning Pressure:</w:t>
      </w:r>
      <w:r>
        <w:t xml:space="preserve"> </w:t>
      </w:r>
      <w:r>
        <w:t xml:space="preserve">Competitors offering cheaper online "nutritionist" services (unregulated in the UK) threaten our premium Dietitian positioning. Our counter-strategy includes mandatory BDA accreditation verification in all marketing materials.</w:t>
      </w:r>
    </w:p>
    <w:p>
      <w:pPr>
        <w:numPr>
          <w:ilvl w:val="0"/>
          <w:numId w:val="1002"/>
        </w:numPr>
        <w:pStyle w:val="Compact"/>
      </w:pPr>
      <w:r>
        <w:rPr>
          <w:bCs/>
          <w:b/>
        </w:rPr>
        <w:t xml:space="preserve">Staff Retention:</w:t>
      </w:r>
      <w:r>
        <w:t xml:space="preserve"> </w:t>
      </w:r>
      <w:r>
        <w:t xml:space="preserve">High demand for dietitians in London's private sector has increased turnover risk. We've introduced a "London Advantage Package" with £5k annual wellness stipend and city-center clinic access, reducing attrition by 22%.</w:t>
      </w:r>
    </w:p>
    <w:bookmarkEnd w:id="23"/>
    <w:bookmarkStart w:id="24" w:name="X728429ad0d3231e5ef93d67dd672bdc2a6e99bd"/>
    <w:p>
      <w:pPr>
        <w:pStyle w:val="Heading2"/>
      </w:pPr>
      <w:r>
        <w:t xml:space="preserve">Opportunities for London Market Expansion</w:t>
      </w:r>
    </w:p>
    <w:p>
      <w:pPr>
        <w:pStyle w:val="FirstParagraph"/>
      </w:pPr>
      <w:r>
        <w:t xml:space="preserve">Our analysis identifies three high-potential growth vectors within United Kingdom London:</w:t>
      </w:r>
    </w:p>
    <w:p>
      <w:pPr>
        <w:numPr>
          <w:ilvl w:val="0"/>
          <w:numId w:val="1003"/>
        </w:numPr>
        <w:pStyle w:val="Compact"/>
      </w:pPr>
      <w:r>
        <w:rPr>
          <w:bCs/>
          <w:b/>
        </w:rPr>
        <w:t xml:space="preserve">Preventative Healthcare Partnerships:</w:t>
      </w:r>
      <w:r>
        <w:t xml:space="preserve"> </w:t>
      </w:r>
      <w:r>
        <w:t xml:space="preserve">Collaborating with NHS Health Check providers in boroughs with highest obesity rates (e.g., Tower Hamlets, Newham) could capture 12,000+ new clients annually through referral pathways.</w:t>
      </w:r>
    </w:p>
    <w:p>
      <w:pPr>
        <w:numPr>
          <w:ilvl w:val="0"/>
          <w:numId w:val="1003"/>
        </w:numPr>
        <w:pStyle w:val="Compact"/>
      </w:pPr>
      <w:r>
        <w:rPr>
          <w:bCs/>
          <w:b/>
        </w:rPr>
        <w:t xml:space="preserve">Sports Nutrition Specialization:</w:t>
      </w:r>
      <w:r>
        <w:t xml:space="preserve"> </w:t>
      </w:r>
      <w:r>
        <w:t xml:space="preserve">Launching a London-exclusive sports dietitian service targeting professional teams (Premier League clubs) and fitness chains like PureGym. Early talks with Chelsea FC's nutrition team are underway.</w:t>
      </w:r>
    </w:p>
    <w:p>
      <w:pPr>
        <w:numPr>
          <w:ilvl w:val="0"/>
          <w:numId w:val="1003"/>
        </w:numPr>
        <w:pStyle w:val="Compact"/>
      </w:pPr>
      <w:r>
        <w:rPr>
          <w:bCs/>
          <w:b/>
        </w:rPr>
        <w:t xml:space="preserve">Senior Care Integration:</w:t>
      </w:r>
      <w:r>
        <w:t xml:space="preserve"> </w:t>
      </w:r>
      <w:r>
        <w:t xml:space="preserve">Partnering with London's growing elderly care sector to provide dementia-specific nutritional support, an area projected to grow by 40% through 2025 (Age UK data).</w:t>
      </w:r>
    </w:p>
    <w:bookmarkEnd w:id="24"/>
    <w:bookmarkStart w:id="25" w:name="strategic-recommendations"/>
    <w:p>
      <w:pPr>
        <w:pStyle w:val="Heading2"/>
      </w:pPr>
      <w:r>
        <w:t xml:space="preserve">Strategic Recommendations</w:t>
      </w:r>
    </w:p>
    <w:p>
      <w:pPr>
        <w:pStyle w:val="FirstParagraph"/>
      </w:pPr>
      <w:r>
        <w:t xml:space="preserve">To capitalize on London's market potential, we propose the following actions:</w:t>
      </w:r>
    </w:p>
    <w:p>
      <w:pPr>
        <w:numPr>
          <w:ilvl w:val="0"/>
          <w:numId w:val="1004"/>
        </w:numPr>
        <w:pStyle w:val="Compact"/>
      </w:pPr>
      <w:r>
        <w:rPr>
          <w:bCs/>
          <w:b/>
        </w:rPr>
        <w:t xml:space="preserve">Launch "London Nutrition Passport":</w:t>
      </w:r>
      <w:r>
        <w:t xml:space="preserve"> </w:t>
      </w:r>
      <w:r>
        <w:t xml:space="preserve">A bundled service offering borough-specific dietary advice (e.g., vegan options for Shoreditch, Mediterranean plans for South Kensington) with £20 discount for NHS referral partners.</w:t>
      </w:r>
    </w:p>
    <w:p>
      <w:pPr>
        <w:numPr>
          <w:ilvl w:val="0"/>
          <w:numId w:val="1004"/>
        </w:numPr>
        <w:pStyle w:val="Compact"/>
      </w:pPr>
      <w:r>
        <w:rPr>
          <w:bCs/>
          <w:b/>
        </w:rPr>
        <w:t xml:space="preserve">Expand Digital Presence:</w:t>
      </w:r>
      <w:r>
        <w:t xml:space="preserve"> </w:t>
      </w:r>
      <w:r>
        <w:t xml:space="preserve">Develop a London-centric app featuring:</w:t>
      </w:r>
    </w:p>
    <w:p>
      <w:pPr>
        <w:numPr>
          <w:ilvl w:val="1"/>
          <w:numId w:val="1005"/>
        </w:numPr>
        <w:pStyle w:val="Compact"/>
      </w:pPr>
      <w:r>
        <w:t xml:space="preserve">Real-time appointment booking at 18 London clinics</w:t>
      </w:r>
    </w:p>
    <w:p>
      <w:pPr>
        <w:numPr>
          <w:ilvl w:val="1"/>
          <w:numId w:val="1005"/>
        </w:numPr>
        <w:pStyle w:val="Compact"/>
      </w:pPr>
      <w:r>
        <w:t xml:space="preserve">Lunchtime nutrition guides for City workers</w:t>
      </w:r>
    </w:p>
    <w:p>
      <w:pPr>
        <w:numPr>
          <w:ilvl w:val="1"/>
          <w:numId w:val="1005"/>
        </w:numPr>
        <w:pStyle w:val="Compact"/>
      </w:pPr>
      <w:r>
        <w:t xml:space="preserve">Cultural recipe database (Indian, Caribbean, Middle Eastern options)</w:t>
      </w:r>
    </w:p>
    <w:p>
      <w:pPr>
        <w:numPr>
          <w:ilvl w:val="0"/>
          <w:numId w:val="1004"/>
        </w:numPr>
        <w:pStyle w:val="Compact"/>
      </w:pPr>
      <w:r>
        <w:rPr>
          <w:bCs/>
          <w:b/>
        </w:rPr>
        <w:t xml:space="preserve">Targeted Community Outreach:</w:t>
      </w:r>
      <w:r>
        <w:t xml:space="preserve"> </w:t>
      </w:r>
      <w:r>
        <w:t xml:space="preserve">Sponsor London Food Festivals and run free "Nutrition First" workshops at community centers in high-need boroughs – directly addressing health inequalities.</w:t>
      </w:r>
    </w:p>
    <w:bookmarkEnd w:id="25"/>
    <w:bookmarkStart w:id="26" w:name="financial-projections-investment-roi"/>
    <w:p>
      <w:pPr>
        <w:pStyle w:val="Heading2"/>
      </w:pPr>
      <w:r>
        <w:t xml:space="preserve">Financial Projections &amp; Investment ROI</w:t>
      </w:r>
    </w:p>
    <w:p>
      <w:pPr>
        <w:pStyle w:val="FirstParagraph"/>
      </w:pPr>
      <w:r>
        <w:t xml:space="preserve">Based on current trajectory, our Dietitian service in United Kingdom London is projected to reach £8.3 million annual revenue by Q1 2025 (vs. £5.9M in 2023). The proposed initiatives require a £185,000 investment but will generate an estimated £476,000 net incremental revenue within 18 months – a projected ROI of 157%. Crucially, these investments align with the UK government's National Obesity Strategy (2023), positioning us as compliant partners for future public health contracts.</w:t>
      </w:r>
    </w:p>
    <w:bookmarkEnd w:id="26"/>
    <w:bookmarkStart w:id="27" w:name="conclusion"/>
    <w:p>
      <w:pPr>
        <w:pStyle w:val="Heading2"/>
      </w:pPr>
      <w:r>
        <w:t xml:space="preserve">Conclusion</w:t>
      </w:r>
    </w:p>
    <w:p>
      <w:pPr>
        <w:pStyle w:val="FirstParagraph"/>
      </w:pPr>
      <w:r>
        <w:t xml:space="preserve">The Sales Report confirms that our Dietitian service has become a cornerstone of our London business strategy. By deeply understanding London's unique healthcare ecosystem – from NHS commissioning complexities to cultural diversity and urban lifestyle demands – we've transformed dietitian services from a niche offering into a high-growth revenue engine. The data unequivocally demonstrates that strategic positioning as clinically rigorous, culturally attuned, and locally embedded nutrition experts delivers superior results in the United Kingdom London market.</w:t>
      </w:r>
    </w:p>
    <w:p>
      <w:pPr>
        <w:pStyle w:val="BodyText"/>
      </w:pPr>
      <w:r>
        <w:t xml:space="preserve">As we move forward, our focus must remain on scaling this model while maintaining the quality that differentiates us from unregulated competitors. The path to dominating London's dietitian market requires continuous adaptation to local health priorities – but with our current momentum and strategic focus, we are positioned not just to meet demand, but to shape the future of nutritional care in the United Kingdom's capital city. The next phase is clear: leverage London as our flagship market for national expansion while maximizing every opportunity within this vibrant urban ecosystem.</w:t>
      </w:r>
    </w:p>
    <w:p>
      <w:pPr>
        <w:pStyle w:val="BodyText"/>
      </w:pPr>
      <w:r>
        <w:rPr>
          <w:iCs/>
          <w:i/>
        </w:rPr>
        <w:t xml:space="preserve">Prepared by: Sales Intelligence Division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United Kingdom London</dc:title>
  <dc:creator/>
  <dc:language>en</dc:language>
  <cp:keywords/>
  <dcterms:created xsi:type="dcterms:W3CDTF">2025-12-11T15:58:40Z</dcterms:created>
  <dcterms:modified xsi:type="dcterms:W3CDTF">2025-12-11T15:58:40Z</dcterms:modified>
</cp:coreProperties>
</file>

<file path=docProps/custom.xml><?xml version="1.0" encoding="utf-8"?>
<Properties xmlns="http://schemas.openxmlformats.org/officeDocument/2006/custom-properties" xmlns:vt="http://schemas.openxmlformats.org/officeDocument/2006/docPropsVTypes"/>
</file>