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Manchester</w:t>
      </w:r>
    </w:p>
    <w:bookmarkStart w:id="29" w:name="X31c5a634e2f5897691b318d645c82b0fa8c841f"/>
    <w:p>
      <w:pPr>
        <w:pStyle w:val="Heading1"/>
      </w:pPr>
      <w:r>
        <w:t xml:space="preserve">Comprehensive Sales Report: Dietitian Service Performance Analysis for United Kingdom Manchester Market (Q3 2023)</w:t>
      </w:r>
    </w:p>
    <w:bookmarkStart w:id="20" w:name="executive-summary"/>
    <w:p>
      <w:pPr>
        <w:pStyle w:val="Heading2"/>
      </w:pPr>
      <w:r>
        <w:t xml:space="preserve">Executive Summary</w:t>
      </w:r>
    </w:p>
    <w:p>
      <w:pPr>
        <w:pStyle w:val="FirstParagraph"/>
      </w:pPr>
      <w:r>
        <w:t xml:space="preserve">This Sales Report provides an in-depth analysis of the dietitian service market within United Kingdom Manchester, highlighting key performance indicators, customer trends, and strategic opportunities. The report confirms a 18.7% year-on-year growth in demand for qualified dietitians across Manchester's healthcare and wellness sectors, positioning our firm as a leading provider in this dynamic market. As Manchester continues to establish itself as the UK's health innovation hub outside London, our Dietitian services have demonstrated exceptional traction among private clients, NHS Trusts, and corporate wellness programs. This Sales Report underscores the critical role of specialized nutrition expertise in addressing rising public health challenges within the United Kingdom Manchester region.</w:t>
      </w:r>
    </w:p>
    <w:bookmarkEnd w:id="20"/>
    <w:bookmarkStart w:id="21" w:name="X296c16f2fdd31668eb7cef8c99dfc6f3853980c"/>
    <w:p>
      <w:pPr>
        <w:pStyle w:val="Heading2"/>
      </w:pPr>
      <w:r>
        <w:t xml:space="preserve">Market Context: United Kingdom Manchester's Dietary Health Landscape</w:t>
      </w:r>
    </w:p>
    <w:p>
      <w:pPr>
        <w:pStyle w:val="FirstParagraph"/>
      </w:pPr>
      <w:r>
        <w:t xml:space="preserve">Manchester has emerged as a pivotal market for dietitian services within the United Kingdom, driven by several converging factors. With 35% of Greater Manchester residents classified as overweight or obese (NHS Digital 2023), local authorities have intensified public health initiatives requiring expert dietary interventions. The City Council's 'Healthy Manchester' strategy mandates annual nutrition assessments for high-risk demographics, creating a sustained demand pipeline for qualified Dietitian professionals. Furthermore, the presence of 14 major NHS Trusts and 78 private healthcare providers in the Manchester conurbation has generated consistent client acquisition opportunities that our Sales Report quantifies as a £2.3M annual market opportunity.</w:t>
      </w:r>
    </w:p>
    <w:bookmarkEnd w:id="21"/>
    <w:bookmarkStart w:id="22" w:name="q3-sales-performance-metrics"/>
    <w:p>
      <w:pPr>
        <w:pStyle w:val="Heading2"/>
      </w:pPr>
      <w:r>
        <w:t xml:space="preserve">Q3 Sales Performance Metrics</w:t>
      </w:r>
    </w:p>
    <w:p>
      <w:pPr>
        <w:pStyle w:val="FirstParagraph"/>
      </w:pPr>
      <w:r>
        <w:t xml:space="preserve">Our Q3 2023 sales data reveals exceptional growth across all service verticals:</w:t>
      </w:r>
    </w:p>
    <w:p>
      <w:pPr>
        <w:numPr>
          <w:ilvl w:val="0"/>
          <w:numId w:val="1001"/>
        </w:numPr>
        <w:pStyle w:val="Compact"/>
      </w:pPr>
      <w:r>
        <w:rPr>
          <w:bCs/>
          <w:b/>
        </w:rPr>
        <w:t xml:space="preserve">Client Acquisition:</w:t>
      </w:r>
      <w:r>
        <w:t xml:space="preserve"> </w:t>
      </w:r>
      <w:r>
        <w:t xml:space="preserve">47 new contracts secured (15.6% increase from Q2), including 9 NHS Trust partnerships and 18 corporate wellness agreements with Manchester-based businesses like Salford City FC and the University of Manchester</w:t>
      </w:r>
    </w:p>
    <w:p>
      <w:pPr>
        <w:numPr>
          <w:ilvl w:val="0"/>
          <w:numId w:val="1001"/>
        </w:numPr>
        <w:pStyle w:val="Compact"/>
      </w:pPr>
      <w:r>
        <w:rPr>
          <w:bCs/>
          <w:b/>
        </w:rPr>
        <w:t xml:space="preserve">Revenue Growth:</w:t>
      </w:r>
      <w:r>
        <w:t xml:space="preserve"> </w:t>
      </w:r>
      <w:r>
        <w:t xml:space="preserve">£184,000 generated (32% YoY increase), exceeding quarterly targets by 27%</w:t>
      </w:r>
    </w:p>
    <w:p>
      <w:pPr>
        <w:numPr>
          <w:ilvl w:val="0"/>
          <w:numId w:val="1001"/>
        </w:numPr>
        <w:pStyle w:val="Compact"/>
      </w:pPr>
      <w:r>
        <w:rPr>
          <w:bCs/>
          <w:b/>
        </w:rPr>
        <w:t xml:space="preserve">Service Utilization:</w:t>
      </w:r>
      <w:r>
        <w:t xml:space="preserve"> </w:t>
      </w:r>
      <w:r>
        <w:t xml:space="preserve">68% client retention rate for ongoing dietary programs, with Manchester-based clients averaging 5.3 sessions per quarter</w:t>
      </w:r>
    </w:p>
    <w:p>
      <w:pPr>
        <w:numPr>
          <w:ilvl w:val="0"/>
          <w:numId w:val="1001"/>
        </w:numPr>
        <w:pStyle w:val="Compact"/>
      </w:pPr>
      <w:r>
        <w:rPr>
          <w:bCs/>
          <w:b/>
        </w:rPr>
        <w:t xml:space="preserve">Demand Drivers:</w:t>
      </w:r>
      <w:r>
        <w:t xml:space="preserve"> </w:t>
      </w:r>
      <w:r>
        <w:t xml:space="preserve">Peak interest during September-October aligning with the 'Healthy New Year' campaign season in United Kingdom Manchester</w:t>
      </w:r>
    </w:p>
    <w:bookmarkEnd w:id="22"/>
    <w:bookmarkStart w:id="23" w:name="X97832e43423b49384e43a0380e14cd45caf677a"/>
    <w:p>
      <w:pPr>
        <w:pStyle w:val="Heading2"/>
      </w:pPr>
      <w:r>
        <w:t xml:space="preserve">Customer Insights: Manchester-Specific Client Needs</w:t>
      </w:r>
    </w:p>
    <w:p>
      <w:pPr>
        <w:pStyle w:val="FirstParagraph"/>
      </w:pPr>
      <w:r>
        <w:t xml:space="preserve">Data from 312 client consultations across Manchester reveals distinct regional preferences:</w:t>
      </w:r>
    </w:p>
    <w:p>
      <w:pPr>
        <w:numPr>
          <w:ilvl w:val="0"/>
          <w:numId w:val="1002"/>
        </w:numPr>
        <w:pStyle w:val="Compact"/>
      </w:pPr>
      <w:r>
        <w:rPr>
          <w:bCs/>
          <w:b/>
        </w:rPr>
        <w:t xml:space="preserve">Cultural Nutrition Demands:</w:t>
      </w:r>
      <w:r>
        <w:t xml:space="preserve"> </w:t>
      </w:r>
      <w:r>
        <w:t xml:space="preserve">41% of clients required culturally-competent dietary planning for South Asian, African Caribbean, and Eastern European communities prevalent in Manchester</w:t>
      </w:r>
    </w:p>
    <w:p>
      <w:pPr>
        <w:numPr>
          <w:ilvl w:val="0"/>
          <w:numId w:val="1002"/>
        </w:numPr>
        <w:pStyle w:val="Compact"/>
      </w:pPr>
      <w:r>
        <w:rPr>
          <w:bCs/>
          <w:b/>
        </w:rPr>
        <w:t xml:space="preserve">Chronic Condition Focus:</w:t>
      </w:r>
      <w:r>
        <w:t xml:space="preserve"> </w:t>
      </w:r>
      <w:r>
        <w:t xml:space="preserve">68% of consultations addressed Type 2 diabetes management (exceeding national averages by 33%) following the NHS Greater Manchester Diabetes Programme</w:t>
      </w:r>
    </w:p>
    <w:p>
      <w:pPr>
        <w:numPr>
          <w:ilvl w:val="0"/>
          <w:numId w:val="1002"/>
        </w:numPr>
        <w:pStyle w:val="Compact"/>
      </w:pPr>
      <w:r>
        <w:rPr>
          <w:bCs/>
          <w:b/>
        </w:rPr>
        <w:t xml:space="preserve">Corporate Wellness Trends:</w:t>
      </w:r>
      <w:r>
        <w:t xml:space="preserve"> </w:t>
      </w:r>
      <w:r>
        <w:t xml:space="preserve">Manufacturing companies (e.g., Siemens Energy) prioritized metabolic health programs to reduce absenteeism, driving a 200% increase in B2B contracts</w:t>
      </w:r>
    </w:p>
    <w:p>
      <w:pPr>
        <w:pStyle w:val="FirstParagraph"/>
      </w:pPr>
      <w:r>
        <w:t xml:space="preserve">"Manchester's diverse population demands dietitian services that understand local culinary traditions," notes Dr. Eleanor Shaw, our Head of Clinical Strategy. "Our success stems from embedding cultural nutrition expertise into every client engagement – this is non-negotiable for effective service delivery in United Kingdom Manchester."</w:t>
      </w:r>
    </w:p>
    <w:bookmarkEnd w:id="23"/>
    <w:bookmarkStart w:id="24" w:name="competitive-positioning-analysis"/>
    <w:p>
      <w:pPr>
        <w:pStyle w:val="Heading2"/>
      </w:pPr>
      <w:r>
        <w:t xml:space="preserve">Competitive Positioning Analysis</w:t>
      </w:r>
    </w:p>
    <w:p>
      <w:pPr>
        <w:pStyle w:val="FirstParagraph"/>
      </w:pPr>
      <w:r>
        <w:t xml:space="preserve">The Sales Report identifies two key competitive advantages differentiating our Dietitian services in Manchester:</w:t>
      </w:r>
    </w:p>
    <w:p>
      <w:pPr>
        <w:numPr>
          <w:ilvl w:val="0"/>
          <w:numId w:val="1003"/>
        </w:numPr>
        <w:pStyle w:val="Compact"/>
      </w:pPr>
      <w:r>
        <w:rPr>
          <w:bCs/>
          <w:b/>
        </w:rPr>
        <w:t xml:space="preserve">NHS Integration Capability:</w:t>
      </w:r>
      <w:r>
        <w:t xml:space="preserve"> </w:t>
      </w:r>
      <w:r>
        <w:t xml:space="preserve">Our exclusive partnership with Greater Manchester Health and Social Care Partnership allows seamless service referral pathways, a feature no competitor possesses</w:t>
      </w:r>
    </w:p>
    <w:p>
      <w:pPr>
        <w:numPr>
          <w:ilvl w:val="0"/>
          <w:numId w:val="1003"/>
        </w:numPr>
        <w:pStyle w:val="Compact"/>
      </w:pPr>
      <w:r>
        <w:rPr>
          <w:bCs/>
          <w:b/>
        </w:rPr>
        <w:t xml:space="preserve">Specialized Clinical Frameworks:</w:t>
      </w:r>
      <w:r>
        <w:t xml:space="preserve"> </w:t>
      </w:r>
      <w:r>
        <w:t xml:space="preserve">We've developed the 'Manchester Metabolic Profile' assessment tool – patented in the United Kingdom – that predicts dietary response patterns unique to local population genetics</w:t>
      </w:r>
    </w:p>
    <w:p>
      <w:pPr>
        <w:pStyle w:val="FirstParagraph"/>
      </w:pPr>
      <w:r>
        <w:t xml:space="preserve">Competitor analysis shows only 27% of dietitian service providers offer NHS-compliant digital health platforms, while our solution achieves 92% client satisfaction through personalized mobile nutrition tracking integrated with Manchester's healthcare ecosystem.</w:t>
      </w:r>
    </w:p>
    <w:bookmarkEnd w:id="24"/>
    <w:bookmarkStart w:id="25" w:name="challenges-and-strategic-opportunities"/>
    <w:p>
      <w:pPr>
        <w:pStyle w:val="Heading2"/>
      </w:pPr>
      <w:r>
        <w:t xml:space="preserve">Challenges and Strategic Opportunities</w:t>
      </w:r>
    </w:p>
    <w:p>
      <w:pPr>
        <w:pStyle w:val="FirstParagraph"/>
      </w:pPr>
      <w:r>
        <w:t xml:space="preserve">Key challenges identified in the United Kingdom Manchester market include:</w:t>
      </w:r>
    </w:p>
    <w:p>
      <w:pPr>
        <w:numPr>
          <w:ilvl w:val="0"/>
          <w:numId w:val="1004"/>
        </w:numPr>
        <w:pStyle w:val="Compact"/>
      </w:pPr>
      <w:r>
        <w:rPr>
          <w:bCs/>
          <w:b/>
        </w:rPr>
        <w:t xml:space="preserve">Staff Retention:</w:t>
      </w:r>
      <w:r>
        <w:t xml:space="preserve"> </w:t>
      </w:r>
      <w:r>
        <w:t xml:space="preserve">19% industry-wide vacancy rate for registered dietitians across Greater Manchester, requiring accelerated recruitment initiatives</w:t>
      </w:r>
    </w:p>
    <w:p>
      <w:pPr>
        <w:numPr>
          <w:ilvl w:val="0"/>
          <w:numId w:val="1004"/>
        </w:numPr>
        <w:pStyle w:val="Compact"/>
      </w:pPr>
      <w:r>
        <w:rPr>
          <w:bCs/>
          <w:b/>
        </w:rPr>
        <w:t xml:space="preserve">Budget Constraints:</w:t>
      </w:r>
      <w:r>
        <w:t xml:space="preserve"> </w:t>
      </w:r>
      <w:r>
        <w:t xml:space="preserve">NHS commissioning delays impacting quarterly revenue cycles (average 45-day payment terms vs. industry standard of 30 days)</w:t>
      </w:r>
    </w:p>
    <w:p>
      <w:pPr>
        <w:pStyle w:val="FirstParagraph"/>
      </w:pPr>
      <w:r>
        <w:t xml:space="preserve">Strategic opportunities emerging from this Sales Report include:</w:t>
      </w:r>
    </w:p>
    <w:p>
      <w:pPr>
        <w:numPr>
          <w:ilvl w:val="0"/>
          <w:numId w:val="1005"/>
        </w:numPr>
        <w:pStyle w:val="Compact"/>
      </w:pPr>
      <w:r>
        <w:rPr>
          <w:bCs/>
          <w:b/>
        </w:rPr>
        <w:t xml:space="preserve">NHS Digital Health Expansion:</w:t>
      </w:r>
      <w:r>
        <w:t xml:space="preserve"> </w:t>
      </w:r>
      <w:r>
        <w:t xml:space="preserve">The £12M 'Digital Diet' initiative by NHS Manchester will require 150+ dietitian roles – we're positioned to capture 35% market share</w:t>
      </w:r>
    </w:p>
    <w:p>
      <w:pPr>
        <w:numPr>
          <w:ilvl w:val="0"/>
          <w:numId w:val="1005"/>
        </w:numPr>
        <w:pStyle w:val="Compact"/>
      </w:pPr>
      <w:r>
        <w:rPr>
          <w:bCs/>
          <w:b/>
        </w:rPr>
        <w:t xml:space="preserve">School Nutrition Programs:</w:t>
      </w:r>
      <w:r>
        <w:t xml:space="preserve"> </w:t>
      </w:r>
      <w:r>
        <w:t xml:space="preserve">New Department for Education guidelines mandating school-based nutrition audits present a £4.7M opportunity</w:t>
      </w:r>
    </w:p>
    <w:bookmarkEnd w:id="25"/>
    <w:bookmarkStart w:id="26" w:name="Xb5b2a99a949f4886b39fd5bd2c99b794b7d09a1"/>
    <w:p>
      <w:pPr>
        <w:pStyle w:val="Heading2"/>
      </w:pPr>
      <w:r>
        <w:t xml:space="preserve">Future Sales Strategy: United Kingdom Manchester Focus</w:t>
      </w:r>
    </w:p>
    <w:p>
      <w:pPr>
        <w:pStyle w:val="FirstParagraph"/>
      </w:pPr>
      <w:r>
        <w:t xml:space="preserve">Based on Q3 performance, our 2024 sales strategy prioritizes three Manchester-specific initiatives:</w:t>
      </w:r>
    </w:p>
    <w:p>
      <w:pPr>
        <w:numPr>
          <w:ilvl w:val="0"/>
          <w:numId w:val="1006"/>
        </w:numPr>
        <w:pStyle w:val="Compact"/>
      </w:pPr>
      <w:r>
        <w:rPr>
          <w:bCs/>
          <w:b/>
        </w:rPr>
        <w:t xml:space="preserve">Community Health Hubs:</w:t>
      </w:r>
      <w:r>
        <w:t xml:space="preserve"> </w:t>
      </w:r>
      <w:r>
        <w:t xml:space="preserve">Establishing 3 mobile dietitian clinics in high-need areas (e.g., Hulme, Moss Side) to increase accessibility – projected to generate £85K annual revenue</w:t>
      </w:r>
    </w:p>
    <w:p>
      <w:pPr>
        <w:numPr>
          <w:ilvl w:val="0"/>
          <w:numId w:val="1006"/>
        </w:numPr>
        <w:pStyle w:val="Compact"/>
      </w:pPr>
      <w:r>
        <w:rPr>
          <w:bCs/>
          <w:b/>
        </w:rPr>
        <w:t xml:space="preserve">Clinical Research Partnerships:</w:t>
      </w:r>
      <w:r>
        <w:t xml:space="preserve"> </w:t>
      </w:r>
      <w:r>
        <w:t xml:space="preserve">Collaborating with University of Manchester's Obesity Research Centre to develop evidence-based dietary protocols for local conditions</w:t>
      </w:r>
    </w:p>
    <w:bookmarkEnd w:id="26"/>
    <w:bookmarkStart w:id="28" w:name="Xd89c22e6ec6e4499ec60e717699cbf2363bc385"/>
    <w:p>
      <w:pPr>
        <w:pStyle w:val="Heading2"/>
      </w:pPr>
      <w:r>
        <w:t xml:space="preserve">Conclusion: The Dietitian Imperative in Manchester's Health Ecosystem</w:t>
      </w:r>
    </w:p>
    <w:p>
      <w:pPr>
        <w:pStyle w:val="FirstParagraph"/>
      </w:pPr>
      <w:r>
        <w:t xml:space="preserve">This Sales Report unequivocally demonstrates that specialized Dietitian services are no longer optional but essential infrastructure within the United Kingdom Manchester healthcare landscape. With obesity-related conditions costing the NHS Greater Manchester £186M annually (Public Health England), our dietitian solutions deliver both clinical impact and financial ROI for stakeholders. The 32% revenue growth in Q3 reflects not just market demand, but a strategic shift toward preventive nutrition as central to Manchester's health transformation.</w:t>
      </w:r>
    </w:p>
    <w:p>
      <w:pPr>
        <w:pStyle w:val="BodyText"/>
      </w:pPr>
      <w:r>
        <w:t xml:space="preserve">As we implement the 2024 expansion strategy, we're committed to scaling our Dietitian service model across all Manchester boroughs while maintaining the hyper-local expertise that drives our competitive advantage. The future of nutrition care in United Kingdom Manchester is not just about providing dietary advice – it's about embedding specialized dietitian services into the fabric of community health systems where they deliver measurable outcomes for individuals, organizations, and public health budgets alike.</w:t>
      </w:r>
    </w:p>
    <w:bookmarkStart w:id="27" w:name="X823fdfdb6ebd767792e4ee4917b7c5295cc6722"/>
    <w:p>
      <w:pPr>
        <w:pStyle w:val="Heading3"/>
      </w:pPr>
      <w:r>
        <w:t xml:space="preserve">Prepared by: Manchester Health Solutions Sales Intelligence Unit</w:t>
      </w:r>
    </w:p>
    <w:p>
      <w:pPr>
        <w:pStyle w:val="FirstParagraph"/>
      </w:pPr>
      <w:r>
        <w:t xml:space="preserve">Date: October 26, 2023 | Sales Report Reference: MHS-DR/DT-UKM-Q3-2023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 United Kingdom Manchester</dc:title>
  <dc:creator/>
  <dc:language>en</dc:language>
  <cp:keywords/>
  <dcterms:created xsi:type="dcterms:W3CDTF">2026-07-23T19:48:47Z</dcterms:created>
  <dcterms:modified xsi:type="dcterms:W3CDTF">2026-07-23T19:48:47Z</dcterms:modified>
</cp:coreProperties>
</file>

<file path=docProps/custom.xml><?xml version="1.0" encoding="utf-8"?>
<Properties xmlns="http://schemas.openxmlformats.org/officeDocument/2006/custom-properties" xmlns:vt="http://schemas.openxmlformats.org/officeDocument/2006/docPropsVTypes"/>
</file>