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p>
    <w:bookmarkStart w:id="28" w:name="Xd115ded8562ce692dd0286ebac10181c60c475e"/>
    <w:p>
      <w:pPr>
        <w:pStyle w:val="Heading1"/>
      </w:pPr>
      <w:r>
        <w:t xml:space="preserve">Comprehensive Sales Report: Premium Dietitian Services in United States Miami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Nutrition Wellness Group</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premium Dietitian services across the United States Miami market. In Q3 2023, we achieved a remarkable 18% year-over-year growth in client acquisitions, securing 417 new clients and generating $385,600 in revenue – exceeding our quarterly target by 14%. The United States Miami market has emerged as our most profitable regional hub due to its unique demographic convergence of health-conscious residents, diverse cultural dietary needs, and growing obesity-related health concerns. This document analyzes the sales strategies driving this success and outlines critical insights for sustainable growth as a leading Dietitian service provider in South Florida.</w:t>
      </w:r>
    </w:p>
    <w:bookmarkEnd w:id="20"/>
    <w:bookmarkStart w:id="21" w:name="X92379aa6001edcce51d1632bb9f2296099b2b4c"/>
    <w:p>
      <w:pPr>
        <w:pStyle w:val="Heading2"/>
      </w:pPr>
      <w:r>
        <w:t xml:space="preserve">II. Miami Market Analysis: Why Dietitian Services Are Thriving</w:t>
      </w:r>
    </w:p>
    <w:p>
      <w:pPr>
        <w:pStyle w:val="FirstParagraph"/>
      </w:pPr>
      <w:r>
        <w:t xml:space="preserve">United States Miami presents an unparalleled opportunity for specialized dietitian services due to three converging factors:</w:t>
      </w:r>
    </w:p>
    <w:p>
      <w:pPr>
        <w:numPr>
          <w:ilvl w:val="0"/>
          <w:numId w:val="1001"/>
        </w:numPr>
        <w:pStyle w:val="Compact"/>
      </w:pPr>
      <w:r>
        <w:rPr>
          <w:bCs/>
          <w:b/>
        </w:rPr>
        <w:t xml:space="preserve">Diverse Population Needs:</w:t>
      </w:r>
      <w:r>
        <w:t xml:space="preserve"> </w:t>
      </w:r>
      <w:r>
        <w:t xml:space="preserve">With 71% of Miami residents identifying as Hispanic/Latinx and 15% Black/African American (per U.S. Census Bureau), our culturally competent Dietitian team addresses unique nutritional challenges including diabetes prevalence (23.4% among Hispanics vs. national average of 10.5%), hypertension, and food insecurity in underserved neighborhoods.</w:t>
      </w:r>
    </w:p>
    <w:p>
      <w:pPr>
        <w:numPr>
          <w:ilvl w:val="0"/>
          <w:numId w:val="1001"/>
        </w:numPr>
        <w:pStyle w:val="Compact"/>
      </w:pPr>
      <w:r>
        <w:rPr>
          <w:bCs/>
          <w:b/>
        </w:rPr>
        <w:t xml:space="preserve">Healthcare Infrastructure:</w:t>
      </w:r>
      <w:r>
        <w:t xml:space="preserve"> </w:t>
      </w:r>
      <w:r>
        <w:t xml:space="preserve">Miami ranks #1 in South Florida for obesity-related hospitalizations (CDC 2022), creating strong referral partnerships with Baptist Health South Florida, Jackson Memorial Hospital, and Mercy Medical Center. These institutions actively refer patients to our certified Dietitian network.</w:t>
      </w:r>
    </w:p>
    <w:p>
      <w:pPr>
        <w:numPr>
          <w:ilvl w:val="0"/>
          <w:numId w:val="1001"/>
        </w:numPr>
        <w:pStyle w:val="Compact"/>
      </w:pPr>
      <w:r>
        <w:rPr>
          <w:bCs/>
          <w:b/>
        </w:rPr>
        <w:t xml:space="preserve">Economic Drivers:</w:t>
      </w:r>
      <w:r>
        <w:t xml:space="preserve"> </w:t>
      </w:r>
      <w:r>
        <w:t xml:space="preserve">Miami's $3.1 billion wellness economy (Florida Department of Tourism) fuels demand for personalized nutrition planning among high-net-worth individuals in Brickell, Coral Gables, and Coconut Grove.</w:t>
      </w:r>
    </w:p>
    <w:bookmarkEnd w:id="21"/>
    <w:bookmarkStart w:id="22" w:name="Xb945cfaf5a53c86a7ab4e2a5472298f8a99130f"/>
    <w:p>
      <w:pPr>
        <w:pStyle w:val="Heading2"/>
      </w:pPr>
      <w:r>
        <w:t xml:space="preserve">III. Sales Performance Breakdown: United States Miami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New Client Acquisitions</w:t>
            </w:r>
          </w:p>
        </w:tc>
        <w:tc>
          <w:tcPr/>
          <w:p>
            <w:pPr>
              <w:pStyle w:val="Compact"/>
              <w:jc w:val="left"/>
            </w:pPr>
            <w:r>
              <w:t xml:space="preserve">417</w:t>
            </w:r>
          </w:p>
        </w:tc>
        <w:tc>
          <w:tcPr/>
          <w:p>
            <w:pPr>
              <w:pStyle w:val="Compact"/>
              <w:jc w:val="left"/>
            </w:pPr>
            <w:r>
              <w:t xml:space="preserve">354</w:t>
            </w:r>
          </w:p>
        </w:tc>
        <w:tc>
          <w:tcPr/>
          <w:p>
            <w:pPr>
              <w:pStyle w:val="Compact"/>
              <w:jc w:val="left"/>
            </w:pPr>
            <w:r>
              <w:t xml:space="preserve">+18%</w:t>
            </w:r>
          </w:p>
        </w:tc>
      </w:tr>
      <w:tr>
        <w:tc>
          <w:tcPr/>
          <w:p>
            <w:pPr>
              <w:pStyle w:val="Compact"/>
              <w:jc w:val="left"/>
            </w:pPr>
            <w:r>
              <w:t xml:space="preserve">Total Revenue Generated</w:t>
            </w:r>
          </w:p>
        </w:tc>
        <w:tc>
          <w:tcPr/>
          <w:p>
            <w:pPr>
              <w:pStyle w:val="Compact"/>
              <w:jc w:val="left"/>
            </w:pPr>
            <w:r>
              <w:t xml:space="preserve">$385,600</w:t>
            </w:r>
          </w:p>
        </w:tc>
        <w:tc>
          <w:tcPr/>
          <w:p>
            <w:pPr>
              <w:pStyle w:val="Compact"/>
              <w:jc w:val="left"/>
            </w:pPr>
            <w:r>
              <w:t xml:space="preserve">$329,800</w:t>
            </w:r>
          </w:p>
        </w:tc>
        <w:tc>
          <w:tcPr/>
          <w:p>
            <w:pPr>
              <w:pStyle w:val="Compact"/>
              <w:jc w:val="left"/>
            </w:pPr>
            <w:r>
              <w:t xml:space="preserve">+17%</w:t>
            </w:r>
          </w:p>
        </w:tc>
      </w:tr>
      <w:tr>
        <w:tc>
          <w:tcPr/>
          <w:p>
            <w:pPr>
              <w:pStyle w:val="Compact"/>
              <w:jc w:val="left"/>
            </w:pPr>
            <w:r>
              <w:t xml:space="preserve">Avg. Client Retention Rate</w:t>
            </w:r>
          </w:p>
        </w:tc>
        <w:tc>
          <w:tcPr/>
          <w:p>
            <w:pPr>
              <w:pStyle w:val="Compact"/>
              <w:jc w:val="left"/>
            </w:pPr>
            <w:r>
              <w:t xml:space="preserve">79%</w:t>
            </w:r>
          </w:p>
        </w:tc>
        <w:tc>
          <w:tcPr/>
          <w:p>
            <w:pPr>
              <w:pStyle w:val="Compact"/>
              <w:jc w:val="left"/>
            </w:pPr>
            <w:r>
              <w:t xml:space="preserve">72%</w:t>
            </w:r>
          </w:p>
        </w:tc>
        <w:tc>
          <w:tcPr/>
          <w:p>
            <w:pPr>
              <w:pStyle w:val="Compact"/>
              <w:jc w:val="left"/>
            </w:pPr>
            <w:r>
              <w:t xml:space="preserve">+7 points</w:t>
            </w:r>
          </w:p>
        </w:tc>
      </w:tr>
      <w:tr>
        <w:tc>
          <w:tcPr/>
          <w:p>
            <w:pPr>
              <w:pStyle w:val="Compact"/>
              <w:jc w:val="left"/>
            </w:pPr>
            <w:r>
              <w:t xml:space="preserve">Sales Conversion Rate (Lead to Client)</w:t>
            </w:r>
          </w:p>
        </w:tc>
        <w:tc>
          <w:tcPr/>
          <w:p>
            <w:pPr>
              <w:pStyle w:val="Compact"/>
              <w:jc w:val="left"/>
            </w:pPr>
            <w:r>
              <w:t xml:space="preserve">43%</w:t>
            </w:r>
          </w:p>
        </w:tc>
        <w:tc>
          <w:tcPr/>
          <w:p>
            <w:pPr>
              <w:pStyle w:val="Compact"/>
              <w:jc w:val="left"/>
            </w:pPr>
            <w:r>
              <w:t xml:space="preserve">36%</w:t>
            </w:r>
          </w:p>
        </w:tc>
        <w:tc>
          <w:tcPr/>
          <w:p>
            <w:pPr>
              <w:pStyle w:val="Compact"/>
              <w:jc w:val="left"/>
            </w:pPr>
            <w:r>
              <w:t xml:space="preserve">+7 points</w:t>
            </w:r>
          </w:p>
        </w:tc>
      </w:tr>
    </w:tbl>
    <w:bookmarkEnd w:id="22"/>
    <w:bookmarkStart w:id="23" w:name="Xf78d3c2a2a51ae3e1fcc80cc26542245ec648a2"/>
    <w:p>
      <w:pPr>
        <w:pStyle w:val="Heading2"/>
      </w:pPr>
      <w:r>
        <w:t xml:space="preserve">IV. Target Audience &amp; Sales Strategy Effectiveness</w:t>
      </w:r>
    </w:p>
    <w:p>
      <w:pPr>
        <w:pStyle w:val="FirstParagraph"/>
      </w:pPr>
      <w:r>
        <w:rPr>
          <w:bCs/>
          <w:b/>
        </w:rPr>
        <w:t xml:space="preserve">Premium Wellness Segment (45% of Sales):</w:t>
      </w:r>
      <w:r>
        <w:t xml:space="preserve"> </w:t>
      </w:r>
      <w:r>
        <w:t xml:space="preserve">We successfully penetrated high-value markets through targeted partnerships with Miami’s luxury fitness chains (Equinox, 24 Hour Fitness) and boutique wellness centers in South Beach. Our "Miami Metabolism Reset" package ($1,200/month for personalized meal plans + virtual coaching) achieved a 31% conversion rate among affluent clients. This strategy directly leveraged the United States Miami luxury market’s $8.7 billion annual spending on health services (Forbes 2023).</w:t>
      </w:r>
    </w:p>
    <w:p>
      <w:pPr>
        <w:pStyle w:val="BodyText"/>
      </w:pPr>
      <w:r>
        <w:rPr>
          <w:bCs/>
          <w:b/>
        </w:rPr>
        <w:t xml:space="preserve">Chronic Condition Management (35% of Sales):</w:t>
      </w:r>
      <w:r>
        <w:t xml:space="preserve"> </w:t>
      </w:r>
      <w:r>
        <w:t xml:space="preserve">Our collaboration with primary care physicians across Miami-Dade County generated 142 referrals for diabetes and cardiovascular management programs. The "Heart Health Nutrition Plan" package saw a 68% client satisfaction rate after three months, driving strong repeat business. This positioned our Dietitian services as essential healthcare support rather than optional wellness.</w:t>
      </w:r>
    </w:p>
    <w:p>
      <w:pPr>
        <w:pStyle w:val="BodyText"/>
      </w:pPr>
      <w:r>
        <w:rPr>
          <w:bCs/>
          <w:b/>
        </w:rPr>
        <w:t xml:space="preserve">Community Health Initiatives (20% of Sales):</w:t>
      </w:r>
      <w:r>
        <w:t xml:space="preserve"> </w:t>
      </w:r>
      <w:r>
        <w:t xml:space="preserve">Through partnerships with Miami-Dade County Health Department and local churches in Overtown/Little Havana, we delivered subsidized group nutrition workshops. These initiatives generated 57 new clients while fulfilling the City’s Healthy Miami 2030 initiative – demonstrating our commitment to United States Miami community health goals.</w:t>
      </w:r>
    </w:p>
    <w:bookmarkEnd w:id="23"/>
    <w:bookmarkStart w:id="24" w:name="Xfe61631e4ff6e632ce4cd70a827e160bf343446"/>
    <w:p>
      <w:pPr>
        <w:pStyle w:val="Heading2"/>
      </w:pPr>
      <w:r>
        <w:t xml:space="preserve">V. Sales Team Performance &amp; Key Innovations</w:t>
      </w:r>
    </w:p>
    <w:p>
      <w:pPr>
        <w:pStyle w:val="FirstParagraph"/>
      </w:pPr>
      <w:r>
        <w:t xml:space="preserve">Our Miami-based sales team (12 professionals) achieved a 48% increase in client consultations through three strategic innovations:</w:t>
      </w:r>
    </w:p>
    <w:p>
      <w:pPr>
        <w:numPr>
          <w:ilvl w:val="0"/>
          <w:numId w:val="1002"/>
        </w:numPr>
        <w:pStyle w:val="Compact"/>
      </w:pPr>
      <w:r>
        <w:rPr>
          <w:bCs/>
          <w:b/>
        </w:rPr>
        <w:t xml:space="preserve">Cultural Competency Training:</w:t>
      </w:r>
      <w:r>
        <w:t xml:space="preserve"> </w:t>
      </w:r>
      <w:r>
        <w:t xml:space="preserve">Mandatory training on Latin American, Caribbean and African dietary traditions for all Dietitian staff, resulting in 92% positive feedback on culturally relevant meal planning.</w:t>
      </w:r>
    </w:p>
    <w:p>
      <w:pPr>
        <w:numPr>
          <w:ilvl w:val="0"/>
          <w:numId w:val="1002"/>
        </w:numPr>
        <w:pStyle w:val="Compact"/>
      </w:pPr>
      <w:r>
        <w:rPr>
          <w:bCs/>
          <w:b/>
        </w:rPr>
        <w:t xml:space="preserve">Hybrid Consultation Model:</w:t>
      </w:r>
      <w:r>
        <w:t xml:space="preserve"> </w:t>
      </w:r>
      <w:r>
        <w:t xml:space="preserve">Combining in-person sessions at our Downtown Miami office with app-based nutrition tracking (partnering with MyFitnessPal) increased client engagement by 56% versus purely virtual or in-person models.</w:t>
      </w:r>
    </w:p>
    <w:p>
      <w:pPr>
        <w:numPr>
          <w:ilvl w:val="0"/>
          <w:numId w:val="1002"/>
        </w:numPr>
        <w:pStyle w:val="Compact"/>
      </w:pPr>
      <w:r>
        <w:rPr>
          <w:bCs/>
          <w:b/>
        </w:rPr>
        <w:t xml:space="preserve">Referral Program Incentives:</w:t>
      </w:r>
      <w:r>
        <w:t xml:space="preserve"> </w:t>
      </w:r>
      <w:r>
        <w:t xml:space="preserve">Co-branded referral cards for healthcare providers, offering $150 per qualified lead, generated 38% of new clients through medical channels.</w:t>
      </w:r>
    </w:p>
    <w:bookmarkEnd w:id="24"/>
    <w:bookmarkStart w:id="25" w:name="vi.-challenges-strategic-adjustments"/>
    <w:p>
      <w:pPr>
        <w:pStyle w:val="Heading2"/>
      </w:pPr>
      <w:r>
        <w:t xml:space="preserve">VI. Challenges &amp; Strategic Adjustments</w:t>
      </w:r>
    </w:p>
    <w:p>
      <w:pPr>
        <w:pStyle w:val="FirstParagraph"/>
      </w:pPr>
      <w:r>
        <w:t xml:space="preserve">While results were strong, two challenges required immediate action:</w:t>
      </w:r>
    </w:p>
    <w:p>
      <w:pPr>
        <w:numPr>
          <w:ilvl w:val="0"/>
          <w:numId w:val="1003"/>
        </w:numPr>
        <w:pStyle w:val="Compact"/>
      </w:pPr>
      <w:r>
        <w:rPr>
          <w:bCs/>
          <w:b/>
        </w:rPr>
        <w:t xml:space="preserve">Insurance Reimbursement Barriers:</w:t>
      </w:r>
      <w:r>
        <w:t xml:space="preserve"> </w:t>
      </w:r>
      <w:r>
        <w:t xml:space="preserve">Only 31% of Miami clients had coverage for dietitian services (vs. 58% nationally). We launched a "Miami Health Partnership" program with CareSource to secure coverage for low-income residents, reducing financial barriers and expanding our addressable market by 27,000 households.</w:t>
      </w:r>
    </w:p>
    <w:p>
      <w:pPr>
        <w:numPr>
          <w:ilvl w:val="0"/>
          <w:numId w:val="1003"/>
        </w:numPr>
        <w:pStyle w:val="Compact"/>
      </w:pPr>
      <w:r>
        <w:rPr>
          <w:bCs/>
          <w:b/>
        </w:rPr>
        <w:t xml:space="preserve">Competitor Price Pressure:</w:t>
      </w:r>
      <w:r>
        <w:t xml:space="preserve"> </w:t>
      </w:r>
      <w:r>
        <w:t xml:space="preserve">Local clinics undercutting pricing on basic plans. Our solution was introducing tiered service levels (Essential $499/mo, Premium $899/mo, Executive $1,500/mo) with clear value differentiation – positioning our premium Dietitian services as essential healthcare investments rather than disposable services.</w:t>
      </w:r>
    </w:p>
    <w:bookmarkEnd w:id="25"/>
    <w:bookmarkStart w:id="26" w:name="X717a5d959deb34a6fb020ac9323100ac9cb01c7"/>
    <w:p>
      <w:pPr>
        <w:pStyle w:val="Heading2"/>
      </w:pPr>
      <w:r>
        <w:t xml:space="preserve">VII. Future Sales Projections: United States Miami</w:t>
      </w:r>
    </w:p>
    <w:p>
      <w:pPr>
        <w:pStyle w:val="FirstParagraph"/>
      </w:pPr>
      <w:r>
        <w:t xml:space="preserve">Based on current momentum, we project:</w:t>
      </w:r>
    </w:p>
    <w:p>
      <w:pPr>
        <w:numPr>
          <w:ilvl w:val="0"/>
          <w:numId w:val="1004"/>
        </w:numPr>
        <w:pStyle w:val="Compact"/>
      </w:pPr>
      <w:r>
        <w:t xml:space="preserve">12% growth in Q4 2023 (vs. Q3) through expanded partnerships with Miami Heat Sports Medicine and new corporate wellness contracts with major employers like Carnival Cruise Line.</w:t>
      </w:r>
    </w:p>
    <w:p>
      <w:pPr>
        <w:numPr>
          <w:ilvl w:val="0"/>
          <w:numId w:val="1004"/>
        </w:numPr>
        <w:pStyle w:val="Compact"/>
      </w:pPr>
      <w:r>
        <w:t xml:space="preserve">Full-year revenue of $1.65M for United States Miami market – representing 37% of our national total.</w:t>
      </w:r>
    </w:p>
    <w:p>
      <w:pPr>
        <w:numPr>
          <w:ilvl w:val="0"/>
          <w:numId w:val="1004"/>
        </w:numPr>
        <w:pStyle w:val="Compact"/>
      </w:pPr>
      <w:r>
        <w:t xml:space="preserve">Expansion into the South Florida diabetes management market (projected $280M opportunity by 2025), targeting partnerships with Diabetes Care Network locations across Miami-Dade County.</w:t>
      </w:r>
    </w:p>
    <w:bookmarkEnd w:id="26"/>
    <w:bookmarkStart w:id="27" w:name="X64e8596810b4e5e02ad8d7d949939831a1a0076"/>
    <w:p>
      <w:pPr>
        <w:pStyle w:val="Heading2"/>
      </w:pPr>
      <w:r>
        <w:t xml:space="preserve">VIII. Conclusion: The Essential Role of Dietitian Services in Miami</w:t>
      </w:r>
    </w:p>
    <w:p>
      <w:pPr>
        <w:pStyle w:val="FirstParagraph"/>
      </w:pPr>
      <w:r>
        <w:t xml:space="preserve">This Sales Report underscores that our Dietitian services are not merely a wellness add-on but a critical component of healthcare infrastructure in the United States Miami landscape. With obesity rates exceeding 30% (CDC 2023) and chronic disease management costs consuming 75% of Miami-Dade County’s public health budget, our data-driven approach has positioned us as the most trusted Dietitian service provider in South Florida. Our success proves that when Dietitian services align with cultural needs, clinical partnerships, and community health goals – they become indispensable. As we expand to serve 600+ clients by Q2 2024 in United States Miami, our model demonstrates how personalized nutrition drives both business growth and public health impact across America’s most diverse urban markets.</w:t>
      </w:r>
    </w:p>
    <w:p>
      <w:pPr>
        <w:pStyle w:val="BodyText"/>
      </w:pPr>
      <w:r>
        <w:rPr>
          <w:bCs/>
          <w:b/>
        </w:rPr>
        <w:t xml:space="preserve">Prepared By:</w:t>
      </w:r>
      <w:r>
        <w:t xml:space="preserve"> </w:t>
      </w:r>
      <w:r>
        <w:t xml:space="preserve">Alex Morgan, Regional Sales Director - South Florida</w:t>
      </w:r>
      <w:r>
        <w:br/>
      </w:r>
      <w:r>
        <w:rPr>
          <w:bCs/>
          <w:b/>
        </w:rPr>
        <w:t xml:space="preserve">Contact:</w:t>
      </w:r>
      <w:r>
        <w:t xml:space="preserve"> </w:t>
      </w:r>
      <w:r>
        <w:t xml:space="preserve">alex.morgan@nutritionwellnessgroup.com | (305) 555-7890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United States Miami Market</dc:title>
  <dc:creator/>
  <dc:language>en</dc:language>
  <cp:keywords/>
  <dcterms:created xsi:type="dcterms:W3CDTF">2025-12-15T22:20:18Z</dcterms:created>
  <dcterms:modified xsi:type="dcterms:W3CDTF">2025-12-15T22:20:18Z</dcterms:modified>
</cp:coreProperties>
</file>

<file path=docProps/custom.xml><?xml version="1.0" encoding="utf-8"?>
<Properties xmlns="http://schemas.openxmlformats.org/officeDocument/2006/custom-properties" xmlns:vt="http://schemas.openxmlformats.org/officeDocument/2006/docPropsVTypes"/>
</file>